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B0" w:rsidRPr="00E056B0" w:rsidRDefault="00E056B0" w:rsidP="00E056B0">
      <w:pPr>
        <w:numPr>
          <w:ilvl w:val="0"/>
          <w:numId w:val="3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  <w:r w:rsidRPr="00E056B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The results suggest that ERW is beneficial for the prevention and alleviation of oxidative stress-induced human neurodegenerative diseases</w:t>
      </w:r>
    </w:p>
    <w:p w:rsidR="00E056B0" w:rsidRPr="00E056B0" w:rsidRDefault="00E056B0" w:rsidP="00E056B0">
      <w:pPr>
        <w:numPr>
          <w:ilvl w:val="0"/>
          <w:numId w:val="3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00000" w:rsidRPr="00E056B0" w:rsidRDefault="00E056B0" w:rsidP="00E056B0">
      <w:pPr>
        <w:numPr>
          <w:ilvl w:val="0"/>
          <w:numId w:val="3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hyperlink r:id="rId5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</w:rPr>
          <w:t>22nd European Society for Animal Cell Technology (ESACT) Meeting on Cell Based Technologies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The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neuroprotective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effects of electrolyzed reduced water and its model water containing molec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ular hydrogen and Pt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nanoparticles,Hanxu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Yan</w:t>
      </w:r>
      <w:hyperlink r:id="rId6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1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Taichi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Kashiwaki</w:t>
      </w:r>
      <w:hyperlink r:id="rId7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2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Takeki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Hamasaki</w:t>
      </w:r>
      <w:hyperlink r:id="rId8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2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Tomoya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Kinjo</w:t>
      </w:r>
      <w:hyperlink r:id="rId9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1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Kiichiro Teruya</w:t>
      </w:r>
      <w:hyperlink r:id="rId10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1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,</w:t>
      </w:r>
      <w:hyperlink r:id="rId11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2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Shigeru Kabayama</w:t>
      </w:r>
      <w:hyperlink r:id="rId12" w:history="1">
        <w:r w:rsidRPr="00E056B0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vertAlign w:val="superscript"/>
          </w:rPr>
          <w:t>3</w:t>
        </w:r>
      </w:hyperlink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and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Sanetaka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Shirahata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E056B0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6B0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6B0" w:rsidRPr="00504BAB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E056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</w:rPr>
          <w:t>22nd European Society for Animal Cell Technology (ESACT) Meeting on Cell Based Technologies</w:t>
        </w:r>
      </w:hyperlink>
      <w:r w:rsidRPr="00504BA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504BA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The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effects of electrolyzed reduced water and its model water containing molecular hydrogen and Pt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nanoparticles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,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Hanxu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Yan</w:t>
      </w:r>
      <w:hyperlink r:id="rId14" w:anchor="ins1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Taichi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Kashiwaki</w:t>
      </w:r>
      <w:hyperlink r:id="rId15" w:anchor="ins2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Takeki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Hamasaki</w:t>
      </w:r>
      <w:hyperlink r:id="rId16" w:anchor="ins2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Tomoya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Kinjo</w:t>
      </w:r>
      <w:hyperlink r:id="rId17" w:anchor="ins1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Kiichiro Teruya</w:t>
      </w:r>
      <w:hyperlink r:id="rId18" w:anchor="ins1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,</w:t>
      </w:r>
      <w:hyperlink r:id="rId19" w:anchor="ins2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Shigeru Kabayama</w:t>
      </w:r>
      <w:hyperlink r:id="rId20" w:anchor="ins3" w:history="1">
        <w:r w:rsidRPr="00E056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</w:rPr>
          <w:t>3</w:t>
        </w:r>
      </w:hyperlink>
      <w:r w:rsidRPr="00504BAB">
        <w:rPr>
          <w:rFonts w:ascii="Times New Roman" w:eastAsia="Times New Roman" w:hAnsi="Times New Roman" w:cs="Times New Roman"/>
          <w:sz w:val="16"/>
          <w:szCs w:val="16"/>
        </w:rPr>
        <w:t xml:space="preserve"> and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Sanetaka</w:t>
      </w:r>
      <w:proofErr w:type="spellEnd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E056B0">
        <w:rPr>
          <w:rFonts w:ascii="Times New Roman" w:eastAsia="Times New Roman" w:hAnsi="Times New Roman" w:cs="Times New Roman"/>
          <w:b/>
          <w:bCs/>
          <w:sz w:val="16"/>
          <w:szCs w:val="16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6B0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E056B0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E056B0" w:rsidRDefault="00E056B0" w:rsidP="00E056B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* Corresponding author: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Sanetaka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0C3E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sirahata@grt.kyushu-u.ac.jp</w:t>
        </w:r>
      </w:hyperlink>
    </w:p>
    <w:p w:rsidR="00E056B0" w:rsidRDefault="00E056B0" w:rsidP="00504BA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proofErr w:type="gram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article is part of the supplement: </w:t>
      </w:r>
      <w:hyperlink r:id="rId22" w:history="1">
        <w:r w:rsidRPr="00504B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22nd European Society for Animal Cell Technology (ESACT) Meeting on Cell Based Technologies</w:t>
        </w:r>
      </w:hyperlink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04BAB" w:rsidRPr="00504BAB" w:rsidRDefault="00504BAB" w:rsidP="0050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0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effects of electrolyzed reduced water and its model water containing molecular hydrogen and Pt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nanoparticles</w:t>
      </w:r>
      <w:proofErr w:type="spellEnd"/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Hanxu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</w:t>
      </w:r>
      <w:hyperlink r:id="rId23" w:anchor="ins1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Taichi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Kashiwaki</w:t>
      </w:r>
      <w:hyperlink r:id="rId24" w:anchor="ins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Takeki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Hamasaki</w:t>
      </w:r>
      <w:hyperlink r:id="rId25" w:anchor="ins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Tomoya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Kinjo</w:t>
      </w:r>
      <w:hyperlink r:id="rId26" w:anchor="ins1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Kiichiro Teruya</w:t>
      </w:r>
      <w:hyperlink r:id="rId27" w:anchor="ins1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hyperlink r:id="rId28" w:anchor="ins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Shigeru Kabayama</w:t>
      </w:r>
      <w:hyperlink r:id="rId29" w:anchor="ins3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Sanetaka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Shirahata</w:t>
      </w:r>
      <w:hyperlink r:id="rId30" w:anchor="ins1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hyperlink r:id="rId31" w:anchor="ins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BAB" w:rsidRPr="00504BAB" w:rsidRDefault="00504BAB" w:rsidP="0050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* Corresponding author: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Sanetaka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sirahata@grt.kyushu-u.ac.jp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>Author Affiliations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Graduate School of Systems Life Sciences, Kyushu University, 6-10-1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Hakozaki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>, Higashi-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Fukuoka 812-8581, Japan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Department of Bioscience and Biotechnology, Faculty of Agriculture, Kyushu University, Fukuoka 812-8581, Japan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Nihon Trim Co. Ltd., 1-8-34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Oyodonaka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>, Kita-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Osaka 531-0076, Japan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For all author emails, please </w:t>
      </w:r>
      <w:hyperlink r:id="rId33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 on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BMC Proceedings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2011,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8):P69 doi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:10.1186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>/1753-6561-5-S8-P69</w:t>
      </w:r>
    </w:p>
    <w:p w:rsidR="00504BAB" w:rsidRPr="00504BAB" w:rsidRDefault="00504BAB" w:rsidP="0050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electronic version of this article is the complete one and can be found online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at: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http://www.biomedcentral.com/1753-6561/5/S8/P69</w:t>
        </w:r>
      </w:hyperlink>
    </w:p>
    <w:p w:rsidR="00504BAB" w:rsidRPr="00504BAB" w:rsidRDefault="00504BAB" w:rsidP="0050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"/>
        <w:gridCol w:w="1853"/>
      </w:tblGrid>
      <w:tr w:rsidR="00504BAB" w:rsidRPr="00504BAB" w:rsidTr="0050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BAB" w:rsidRPr="00504BAB" w:rsidRDefault="00504BAB" w:rsidP="0050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AB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Published:</w:t>
            </w:r>
          </w:p>
        </w:tc>
        <w:tc>
          <w:tcPr>
            <w:tcW w:w="0" w:type="auto"/>
            <w:vAlign w:val="center"/>
            <w:hideMark/>
          </w:tcPr>
          <w:p w:rsidR="00504BAB" w:rsidRPr="00504BAB" w:rsidRDefault="00504BAB" w:rsidP="0050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AB">
              <w:rPr>
                <w:rFonts w:ascii="Times New Roman" w:eastAsia="Times New Roman" w:hAnsi="Times New Roman" w:cs="Times New Roman"/>
                <w:sz w:val="24"/>
                <w:szCs w:val="24"/>
              </w:rPr>
              <w:t>22 November 2011</w:t>
            </w:r>
          </w:p>
        </w:tc>
      </w:tr>
    </w:tbl>
    <w:p w:rsidR="00504BAB" w:rsidRPr="00504BAB" w:rsidRDefault="00504BAB" w:rsidP="0050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© 2011 Yan et al; licensee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BioMed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Central Ltd.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>This is an open access article distributed under the terms of the Creative Commons Attribution License (</w:t>
      </w:r>
      <w:hyperlink r:id="rId35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http://creativecommons.org/licenses/by/2.0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), which permits unrestricted use, distribution, and reproduction in any medium, provided the original work is properly cited.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sec1"/>
      <w:bookmarkEnd w:id="0"/>
      <w:r w:rsidRPr="00504BAB">
        <w:rPr>
          <w:rFonts w:ascii="Times New Roman" w:eastAsia="Times New Roman" w:hAnsi="Times New Roman" w:cs="Times New Roman"/>
          <w:b/>
          <w:bCs/>
          <w:sz w:val="27"/>
          <w:szCs w:val="27"/>
        </w:rPr>
        <w:t>Background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Human brain is the biggest energy consuming tissue in human body. Although it only represents 2% of the body weight, it receives 20% of total body oxygen consumption and 25% of total body glucose utilization. For that reason, brain is considered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to be the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most vulnerable part of human body against the reactive oxygen species (ROS), a by-product of aerobic respiration. Oxidative stress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is directly related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to a series of brain dysfunctional disease such as Alzheimer's disease, Parkinson's disease etc. Electrolyzed reduced water (ERW) is a functional drinking water containing a lot of molecular hydrogen and a small amount of platinum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nanoparticles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(Pt NPs, Table </w:t>
      </w:r>
      <w:bookmarkStart w:id="1" w:name="d10997e132"/>
      <w:bookmarkEnd w:id="1"/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4BA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"http://www.biomedcentral.com/1753-6561/5/S8/P69/table/T1" </w:instrText>
      </w:r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4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). ERW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is known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to scavenge ROS and protect DNA from oxidative damage </w:t>
      </w:r>
      <w:bookmarkStart w:id="2" w:name="d10997e136"/>
      <w:bookmarkEnd w:id="2"/>
      <w:r w:rsidRPr="00504BAB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36" w:anchor="B1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]. We previously showed that ERW was capable of extending lifespan of </w:t>
      </w: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Caenorhabditis</w:t>
      </w:r>
      <w:proofErr w:type="spellEnd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elegans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by scavenging ROS </w:t>
      </w:r>
      <w:bookmarkStart w:id="3" w:name="d10997e143"/>
      <w:bookmarkEnd w:id="3"/>
      <w:r w:rsidRPr="00504BAB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37" w:anchor="B2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]. Molecular hydrogen could scavenge ROS and protected brain from oxidative stress </w:t>
      </w:r>
      <w:bookmarkStart w:id="4" w:name="d10997e147"/>
      <w:bookmarkEnd w:id="4"/>
      <w:r w:rsidRPr="00504BAB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38" w:anchor="B3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]. Pt NPs are also a new type of multi-functional ROS scavenger </w:t>
      </w:r>
      <w:bookmarkStart w:id="5" w:name="d10997e152"/>
      <w:bookmarkEnd w:id="5"/>
      <w:r w:rsidRPr="00504BAB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39" w:anchor="B4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proofErr w:type="gramStart"/>
        <w:r w:rsidRPr="00504B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Table 1.</w:t>
        </w:r>
        <w:proofErr w:type="gramEnd"/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Characteristics of the water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samples.The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characteristics of water samples were determined immediately after the preparation of ERW.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ERW, electrolyzed reduced water; CW, activated charcoal-treated water.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The pH values were shown as average ± standard deviation (N = 5). The values of DH, DO and Pt NPs were shown the minimum and maximum values after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independent measurements.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sec2"/>
      <w:bookmarkEnd w:id="6"/>
      <w:r w:rsidRPr="00504BAB">
        <w:rPr>
          <w:rFonts w:ascii="Times New Roman" w:eastAsia="Times New Roman" w:hAnsi="Times New Roman" w:cs="Times New Roman"/>
          <w:b/>
          <w:bCs/>
          <w:sz w:val="27"/>
          <w:szCs w:val="27"/>
        </w:rPr>
        <w:t>Materials and methods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In this research, we used TI-200S ERW derived from 2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solution produced by a batch type electrolysis device and model waters containing molecular hydrogen and synthetic Pt NPs of 2-3 nm sizes as research models of ERW to examine the anti-oxidant capabilities of ERW on several kinds of neural cells such as PC12, N1E115, and serum free mouse embryo (SFME) cells.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We pretreated the ERW and 200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and examined the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effects of ERW on PC12, N1E115 and SFME cells, using WST-8 method. We also examined the intracellular ROS scavenging effects of ERW on N1E115 cells after pretreated cells with ERW and H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using DCFH-DA. We checked the protective effects of ERW on mitochondria and cytoplasm by Rh123 and Fuo-3 AM stain. We also examined the ATP production of SFME cells after pretreated with ERW and H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by Bioluminescence Assay Kit. Finally, we used dissolved hydrogen (DH) and Pt NPs as research models to examine their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effects.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sec3"/>
      <w:bookmarkEnd w:id="7"/>
      <w:r w:rsidRPr="00504BA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Results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>ERW significantly reduced the cell death induced by H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pretreatment (Figure </w:t>
      </w:r>
      <w:bookmarkStart w:id="8" w:name="d10997e298"/>
      <w:bookmarkEnd w:id="8"/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4BA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"http://www.biomedcentral.com/1753-6561/5/S8/P69/figure/F1" </w:instrText>
      </w:r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4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). ERW also scavenged the intracellular ROS and prevented the decrease of mitochondrial membrane potential and ATP production induced by ROS. We also examined the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effects of molecular hydrogen and Pt NPs and </w:t>
      </w:r>
      <w:r w:rsidRPr="00504BAB">
        <w:rPr>
          <w:rFonts w:ascii="Times New Roman" w:eastAsia="Times New Roman" w:hAnsi="Times New Roman" w:cs="Times New Roman"/>
          <w:b/>
          <w:sz w:val="24"/>
          <w:szCs w:val="24"/>
        </w:rPr>
        <w:t xml:space="preserve">showed that both molecular hydrogen and Pt NPs contributed to the </w:t>
      </w:r>
      <w:proofErr w:type="spellStart"/>
      <w:r w:rsidRPr="00504BAB">
        <w:rPr>
          <w:rFonts w:ascii="Times New Roman" w:eastAsia="Times New Roman" w:hAnsi="Times New Roman" w:cs="Times New Roman"/>
          <w:b/>
          <w:sz w:val="24"/>
          <w:szCs w:val="24"/>
        </w:rPr>
        <w:t>neuroprotective</w:t>
      </w:r>
      <w:proofErr w:type="spellEnd"/>
      <w:r w:rsidRPr="00504BAB">
        <w:rPr>
          <w:rFonts w:ascii="Times New Roman" w:eastAsia="Times New Roman" w:hAnsi="Times New Roman" w:cs="Times New Roman"/>
          <w:b/>
          <w:sz w:val="24"/>
          <w:szCs w:val="24"/>
        </w:rPr>
        <w:t xml:space="preserve"> effects of ERW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133350" cy="133350"/>
              <wp:effectExtent l="19050" t="0" r="0" b="0"/>
              <wp:docPr id="2" name="Picture 2" descr="thumbnail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thumbnail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504B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Figure 1.</w:t>
        </w:r>
        <w:proofErr w:type="gramEnd"/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Protective effect of ERW on H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-induced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neuroblastoma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N1E115 cells death.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Cells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were treated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with water samples (ERW and control ultrapure water with same pH with ERW) and 200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B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for 24 h. Cell viabilities were assayed by WST-8 method. N=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, * p &lt; 0.05.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sec4"/>
      <w:bookmarkEnd w:id="9"/>
      <w:r w:rsidRPr="00504BAB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</w:t>
      </w:r>
    </w:p>
    <w:p w:rsidR="00504BAB" w:rsidRPr="00504BAB" w:rsidRDefault="00504BAB" w:rsidP="005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The results suggest that ERW is beneficial for the prevention and alleviation of oxidative stress-induced human neurodegenerative diseases.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refs"/>
      <w:bookmarkEnd w:id="10"/>
      <w:r w:rsidRPr="00504BAB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References</w:t>
      </w:r>
    </w:p>
    <w:p w:rsidR="00504BAB" w:rsidRPr="00504BAB" w:rsidRDefault="00504BAB" w:rsidP="0050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B1"/>
      <w:bookmarkEnd w:id="11"/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S, Kabayama S, Nakano M, Miura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Kusumoto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Gotoh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M, Hayashi H,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Otsubo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Morisawa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Katakura</w:t>
      </w:r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Y: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Electrolyzed-reduced water scavenges active oxygen species and protects DNA from oxidative damage.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Biophys</w:t>
      </w:r>
      <w:proofErr w:type="spellEnd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Biochem</w:t>
      </w:r>
      <w:proofErr w:type="spellEnd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 </w:t>
      </w: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Commun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1997,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234: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269-274. </w:t>
      </w:r>
      <w:hyperlink r:id="rId43" w:tgtFrame="_blank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Publisher Full Text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3" name="Picture 3" descr="OpenURL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URL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AB" w:rsidRPr="00504BAB" w:rsidRDefault="00504BAB" w:rsidP="0050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2"/>
      <w:bookmarkEnd w:id="12"/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Yan H,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Tian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H, Kinjo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Hamasaki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Tomimatsu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Nakamichi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Teruya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Kabayama S,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S: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Extension of the lifespan of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Caenorhabditis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elegans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the use of electrolyzed reduced water.</w:t>
      </w:r>
      <w:proofErr w:type="gram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Biosci</w:t>
      </w:r>
      <w:proofErr w:type="spellEnd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Biotech </w:t>
      </w:r>
      <w:proofErr w:type="spellStart"/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Biochem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2010,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74: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2011-2015. </w:t>
      </w:r>
      <w:hyperlink r:id="rId45" w:tgtFrame="_blank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Publisher Full Text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4" name="Picture 4" descr="OpenURL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URL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AB" w:rsidRPr="00504BAB" w:rsidRDefault="00504BAB" w:rsidP="0050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B3"/>
      <w:bookmarkEnd w:id="13"/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Ohsawa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I, Ishikawa M, Takahashi K, Watanabe M,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Nishimaki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Yamagata K,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Katsura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Katayama Y, </w:t>
      </w:r>
      <w:proofErr w:type="spellStart"/>
      <w:proofErr w:type="gramStart"/>
      <w:r w:rsidRPr="00504BAB">
        <w:rPr>
          <w:rFonts w:ascii="Times New Roman" w:eastAsia="Times New Roman" w:hAnsi="Times New Roman" w:cs="Times New Roman"/>
          <w:sz w:val="24"/>
          <w:szCs w:val="24"/>
        </w:rPr>
        <w:t>Asoh</w:t>
      </w:r>
      <w:proofErr w:type="spellEnd"/>
      <w:proofErr w:type="gram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Ohta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S: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Hydrogen acts as a therapeutic antioxidant by selectively reducing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cytotoxic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oxygen radials.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Nature Med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2007,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13: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688-694. </w:t>
      </w:r>
      <w:hyperlink r:id="rId47" w:tgtFrame="_blank" w:history="1">
        <w:proofErr w:type="spellStart"/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  <w:proofErr w:type="spellEnd"/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Abstract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48" w:tgtFrame="_blank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Publisher Full Text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5" name="Picture 5" descr="OpenURL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URL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AB" w:rsidRPr="00504BAB" w:rsidRDefault="00504BAB" w:rsidP="0050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B4"/>
      <w:bookmarkEnd w:id="14"/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Hamasaki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Kashiwagi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Imada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Nakamichi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Aramaki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Toh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Morisawa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Shimakoshi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H,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Hisaeda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 w:rsidRPr="00504BAB">
        <w:rPr>
          <w:rFonts w:ascii="Times New Roman" w:eastAsia="Times New Roman" w:hAnsi="Times New Roman" w:cs="Times New Roman"/>
          <w:sz w:val="24"/>
          <w:szCs w:val="24"/>
        </w:rPr>
        <w:t>Shirahata</w:t>
      </w:r>
      <w:proofErr w:type="spellEnd"/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S: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Kinetic analysis of superoxide anion radical-scavenging and hydroxyl radical-scavenging activities of platinum </w:t>
      </w:r>
      <w:proofErr w:type="spellStart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nanoparticles</w:t>
      </w:r>
      <w:proofErr w:type="spellEnd"/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04BAB" w:rsidRPr="00504BAB" w:rsidRDefault="00504BAB" w:rsidP="00504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04BAB">
        <w:rPr>
          <w:rFonts w:ascii="Times New Roman" w:eastAsia="Times New Roman" w:hAnsi="Times New Roman" w:cs="Times New Roman"/>
          <w:i/>
          <w:iCs/>
          <w:sz w:val="24"/>
          <w:szCs w:val="24"/>
        </w:rPr>
        <w:t>Langmuir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2008, </w:t>
      </w:r>
      <w:r w:rsidRPr="00504BAB">
        <w:rPr>
          <w:rFonts w:ascii="Times New Roman" w:eastAsia="Times New Roman" w:hAnsi="Times New Roman" w:cs="Times New Roman"/>
          <w:b/>
          <w:bCs/>
          <w:sz w:val="24"/>
          <w:szCs w:val="24"/>
        </w:rPr>
        <w:t>24:</w:t>
      </w:r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7354-7364. </w:t>
      </w:r>
      <w:hyperlink r:id="rId50" w:tgtFrame="_blank" w:history="1">
        <w:proofErr w:type="spellStart"/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  <w:proofErr w:type="spellEnd"/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Abstract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51" w:tgtFrame="_blank" w:history="1">
        <w:r w:rsidRPr="0050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Publisher Full Text</w:t>
        </w:r>
      </w:hyperlink>
      <w:r w:rsidRPr="005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6" name="Picture 6" descr="OpenURL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nURL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90" w:rsidRDefault="00F27090"/>
    <w:sectPr w:rsidR="00F27090" w:rsidSect="00F27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9A6"/>
    <w:multiLevelType w:val="hybridMultilevel"/>
    <w:tmpl w:val="17686552"/>
    <w:lvl w:ilvl="0" w:tplc="741CF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4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0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6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86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3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EB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4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BA1FFF"/>
    <w:multiLevelType w:val="multilevel"/>
    <w:tmpl w:val="9BF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4D16"/>
    <w:multiLevelType w:val="multilevel"/>
    <w:tmpl w:val="FE70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504BAB"/>
    <w:rsid w:val="00504BAB"/>
    <w:rsid w:val="00E056B0"/>
    <w:rsid w:val="00F2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90"/>
  </w:style>
  <w:style w:type="paragraph" w:styleId="Heading1">
    <w:name w:val="heading 1"/>
    <w:basedOn w:val="Normal"/>
    <w:link w:val="Heading1Char"/>
    <w:uiPriority w:val="9"/>
    <w:qFormat/>
    <w:rsid w:val="00504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04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4B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BAB"/>
    <w:rPr>
      <w:color w:val="0000FF"/>
      <w:u w:val="single"/>
    </w:rPr>
  </w:style>
  <w:style w:type="character" w:customStyle="1" w:styleId="articletype">
    <w:name w:val="articletype"/>
    <w:basedOn w:val="DefaultParagraphFont"/>
    <w:rsid w:val="00504BAB"/>
  </w:style>
  <w:style w:type="paragraph" w:customStyle="1" w:styleId="authors">
    <w:name w:val="authors"/>
    <w:basedOn w:val="Normal"/>
    <w:rsid w:val="005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BAB"/>
    <w:rPr>
      <w:b/>
      <w:bCs/>
    </w:rPr>
  </w:style>
  <w:style w:type="paragraph" w:customStyle="1" w:styleId="options">
    <w:name w:val="options"/>
    <w:basedOn w:val="Normal"/>
    <w:rsid w:val="005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4BAB"/>
    <w:rPr>
      <w:i/>
      <w:iCs/>
    </w:rPr>
  </w:style>
  <w:style w:type="character" w:customStyle="1" w:styleId="pseudotab">
    <w:name w:val="pseudotab"/>
    <w:basedOn w:val="DefaultParagraphFont"/>
    <w:rsid w:val="00504BAB"/>
  </w:style>
  <w:style w:type="character" w:customStyle="1" w:styleId="entity">
    <w:name w:val="entity"/>
    <w:basedOn w:val="DefaultParagraphFont"/>
    <w:rsid w:val="00504BAB"/>
  </w:style>
  <w:style w:type="paragraph" w:styleId="BalloonText">
    <w:name w:val="Balloon Text"/>
    <w:basedOn w:val="Normal"/>
    <w:link w:val="BalloonTextChar"/>
    <w:uiPriority w:val="99"/>
    <w:semiHidden/>
    <w:unhideWhenUsed/>
    <w:rsid w:val="005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omedcentral.com/bmcproc/supplements/5/S8" TargetMode="External"/><Relationship Id="rId18" Type="http://schemas.openxmlformats.org/officeDocument/2006/relationships/hyperlink" Target="http://www.biomedcentral.com/1753-6561/5/S8/P69/" TargetMode="External"/><Relationship Id="rId26" Type="http://schemas.openxmlformats.org/officeDocument/2006/relationships/hyperlink" Target="http://www.biomedcentral.com/1753-6561/5/S8/P69/" TargetMode="External"/><Relationship Id="rId39" Type="http://schemas.openxmlformats.org/officeDocument/2006/relationships/hyperlink" Target="http://www.biomedcentral.com/1753-6561/5/S8/P6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rahata@grt.kyushu-u.ac.jp" TargetMode="External"/><Relationship Id="rId34" Type="http://schemas.openxmlformats.org/officeDocument/2006/relationships/hyperlink" Target="http://www.biomedcentral.com/1753-6561/5/S8/P69" TargetMode="External"/><Relationship Id="rId42" Type="http://schemas.openxmlformats.org/officeDocument/2006/relationships/image" Target="media/image1.gif"/><Relationship Id="rId47" Type="http://schemas.openxmlformats.org/officeDocument/2006/relationships/hyperlink" Target="http://www.biomedcentral.com/pubmed/17486089" TargetMode="External"/><Relationship Id="rId50" Type="http://schemas.openxmlformats.org/officeDocument/2006/relationships/hyperlink" Target="http://www.biomedcentral.com/pubmed/18553993" TargetMode="External"/><Relationship Id="rId7" Type="http://schemas.openxmlformats.org/officeDocument/2006/relationships/hyperlink" Target="http://www.biomedcentral.com/1753-6561/5/S8/P69/" TargetMode="External"/><Relationship Id="rId12" Type="http://schemas.openxmlformats.org/officeDocument/2006/relationships/hyperlink" Target="http://www.biomedcentral.com/1753-6561/5/S8/P69/" TargetMode="External"/><Relationship Id="rId17" Type="http://schemas.openxmlformats.org/officeDocument/2006/relationships/hyperlink" Target="http://www.biomedcentral.com/1753-6561/5/S8/P69/" TargetMode="External"/><Relationship Id="rId25" Type="http://schemas.openxmlformats.org/officeDocument/2006/relationships/hyperlink" Target="http://www.biomedcentral.com/1753-6561/5/S8/P69/" TargetMode="External"/><Relationship Id="rId33" Type="http://schemas.openxmlformats.org/officeDocument/2006/relationships/hyperlink" Target="http://www.biomedcentral.com/bmcproc/logon" TargetMode="External"/><Relationship Id="rId38" Type="http://schemas.openxmlformats.org/officeDocument/2006/relationships/hyperlink" Target="http://www.biomedcentral.com/1753-6561/5/S8/P69" TargetMode="External"/><Relationship Id="rId46" Type="http://schemas.openxmlformats.org/officeDocument/2006/relationships/hyperlink" Target="http://www.biomedcentral.com/sfx_links?ui=1753-6561-5-S8-P69&amp;bibl=B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medcentral.com/1753-6561/5/S8/P69/" TargetMode="External"/><Relationship Id="rId20" Type="http://schemas.openxmlformats.org/officeDocument/2006/relationships/hyperlink" Target="http://www.biomedcentral.com/1753-6561/5/S8/P69/" TargetMode="External"/><Relationship Id="rId29" Type="http://schemas.openxmlformats.org/officeDocument/2006/relationships/hyperlink" Target="http://www.biomedcentral.com/1753-6561/5/S8/P69/" TargetMode="External"/><Relationship Id="rId41" Type="http://schemas.openxmlformats.org/officeDocument/2006/relationships/hyperlink" Target="http://www.biomedcentral.com/1753-6561/5/S8/P69/figure/F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omedcentral.com/1753-6561/5/S8/P69/" TargetMode="External"/><Relationship Id="rId11" Type="http://schemas.openxmlformats.org/officeDocument/2006/relationships/hyperlink" Target="http://www.biomedcentral.com/1753-6561/5/S8/P69/" TargetMode="External"/><Relationship Id="rId24" Type="http://schemas.openxmlformats.org/officeDocument/2006/relationships/hyperlink" Target="http://www.biomedcentral.com/1753-6561/5/S8/P69/" TargetMode="External"/><Relationship Id="rId32" Type="http://schemas.openxmlformats.org/officeDocument/2006/relationships/hyperlink" Target="mailto:sirahata@grt.kyushu-u.ac.jp" TargetMode="External"/><Relationship Id="rId37" Type="http://schemas.openxmlformats.org/officeDocument/2006/relationships/hyperlink" Target="http://www.biomedcentral.com/1753-6561/5/S8/P69" TargetMode="External"/><Relationship Id="rId40" Type="http://schemas.openxmlformats.org/officeDocument/2006/relationships/hyperlink" Target="http://www.biomedcentral.com/1753-6561/5/S8/P69/table/T1" TargetMode="External"/><Relationship Id="rId45" Type="http://schemas.openxmlformats.org/officeDocument/2006/relationships/hyperlink" Target="http://dx.doi.org/10.1271/bbb.10025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iomedcentral.com/bmcproc/supplements/5/S8" TargetMode="External"/><Relationship Id="rId15" Type="http://schemas.openxmlformats.org/officeDocument/2006/relationships/hyperlink" Target="http://www.biomedcentral.com/1753-6561/5/S8/P69/" TargetMode="External"/><Relationship Id="rId23" Type="http://schemas.openxmlformats.org/officeDocument/2006/relationships/hyperlink" Target="http://www.biomedcentral.com/1753-6561/5/S8/P69/" TargetMode="External"/><Relationship Id="rId28" Type="http://schemas.openxmlformats.org/officeDocument/2006/relationships/hyperlink" Target="http://www.biomedcentral.com/1753-6561/5/S8/P69/" TargetMode="External"/><Relationship Id="rId36" Type="http://schemas.openxmlformats.org/officeDocument/2006/relationships/hyperlink" Target="http://www.biomedcentral.com/1753-6561/5/S8/P69" TargetMode="External"/><Relationship Id="rId49" Type="http://schemas.openxmlformats.org/officeDocument/2006/relationships/hyperlink" Target="http://www.biomedcentral.com/sfx_links?ui=1753-6561-5-S8-P69&amp;bibl=B3" TargetMode="External"/><Relationship Id="rId10" Type="http://schemas.openxmlformats.org/officeDocument/2006/relationships/hyperlink" Target="http://www.biomedcentral.com/1753-6561/5/S8/P69/" TargetMode="External"/><Relationship Id="rId19" Type="http://schemas.openxmlformats.org/officeDocument/2006/relationships/hyperlink" Target="http://www.biomedcentral.com/1753-6561/5/S8/P69/" TargetMode="External"/><Relationship Id="rId31" Type="http://schemas.openxmlformats.org/officeDocument/2006/relationships/hyperlink" Target="http://www.biomedcentral.com/1753-6561/5/S8/P69/" TargetMode="External"/><Relationship Id="rId44" Type="http://schemas.openxmlformats.org/officeDocument/2006/relationships/hyperlink" Target="http://www.biomedcentral.com/sfx_links?ui=1753-6561-5-S8-P69&amp;bibl=B1" TargetMode="External"/><Relationship Id="rId52" Type="http://schemas.openxmlformats.org/officeDocument/2006/relationships/hyperlink" Target="http://www.biomedcentral.com/sfx_links?ui=1753-6561-5-S8-P69&amp;bibl=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medcentral.com/1753-6561/5/S8/P69/" TargetMode="External"/><Relationship Id="rId14" Type="http://schemas.openxmlformats.org/officeDocument/2006/relationships/hyperlink" Target="http://www.biomedcentral.com/1753-6561/5/S8/P69/" TargetMode="External"/><Relationship Id="rId22" Type="http://schemas.openxmlformats.org/officeDocument/2006/relationships/hyperlink" Target="http://www.biomedcentral.com/bmcproc/supplements/5/S8" TargetMode="External"/><Relationship Id="rId27" Type="http://schemas.openxmlformats.org/officeDocument/2006/relationships/hyperlink" Target="http://www.biomedcentral.com/1753-6561/5/S8/P69/" TargetMode="External"/><Relationship Id="rId30" Type="http://schemas.openxmlformats.org/officeDocument/2006/relationships/hyperlink" Target="http://www.biomedcentral.com/1753-6561/5/S8/P69/" TargetMode="External"/><Relationship Id="rId35" Type="http://schemas.openxmlformats.org/officeDocument/2006/relationships/hyperlink" Target="http://creativecommons.org/licenses/by/2.0" TargetMode="External"/><Relationship Id="rId43" Type="http://schemas.openxmlformats.org/officeDocument/2006/relationships/hyperlink" Target="http://dx.doi.org/10.1006/bbrc.1997.6622" TargetMode="External"/><Relationship Id="rId48" Type="http://schemas.openxmlformats.org/officeDocument/2006/relationships/hyperlink" Target="http://www.ncbi.nlm.nih.gov/entrez/eutils/elink.fcgi?dbfrom=pubmed&amp;cmd=prlinks&amp;retmode=ref&amp;id=17486089" TargetMode="External"/><Relationship Id="rId8" Type="http://schemas.openxmlformats.org/officeDocument/2006/relationships/hyperlink" Target="http://www.biomedcentral.com/1753-6561/5/S8/P69/" TargetMode="External"/><Relationship Id="rId51" Type="http://schemas.openxmlformats.org/officeDocument/2006/relationships/hyperlink" Target="http://www.ncbi.nlm.nih.gov/entrez/eutils/elink.fcgi?dbfrom=pubmed&amp;cmd=prlinks&amp;retmode=ref&amp;id=18553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2011-12-02T22:54:00Z</dcterms:created>
  <dcterms:modified xsi:type="dcterms:W3CDTF">2011-12-03T01:26:00Z</dcterms:modified>
</cp:coreProperties>
</file>