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F4" w:rsidRDefault="00B96AF4" w:rsidP="00B96AF4">
      <w:pPr>
        <w:spacing w:before="100" w:beforeAutospacing="1" w:after="100" w:afterAutospacing="1" w:line="240" w:lineRule="auto"/>
        <w:outlineLvl w:val="2"/>
        <w:rPr>
          <w:rFonts w:ascii="Times New Roman" w:eastAsia="Times New Roman" w:hAnsi="Times New Roman" w:cs="Times New Roman"/>
          <w:b/>
          <w:bCs/>
          <w:sz w:val="27"/>
          <w:szCs w:val="27"/>
        </w:rPr>
      </w:pPr>
      <w:r w:rsidRPr="00B96AF4">
        <w:rPr>
          <w:rFonts w:ascii="Times New Roman" w:eastAsia="Times New Roman" w:hAnsi="Times New Roman" w:cs="Times New Roman"/>
          <w:b/>
          <w:bCs/>
          <w:sz w:val="27"/>
          <w:szCs w:val="27"/>
        </w:rPr>
        <w:t>THE ROLE OF THE BLOOD–BRAIN BARRIER IN INFLAMMATION</w:t>
      </w:r>
    </w:p>
    <w:p w:rsidR="004B5191" w:rsidRPr="00B96AF4" w:rsidRDefault="004B5191" w:rsidP="00B96AF4">
      <w:pPr>
        <w:spacing w:before="100" w:beforeAutospacing="1" w:after="100" w:afterAutospacing="1" w:line="240" w:lineRule="auto"/>
        <w:outlineLvl w:val="2"/>
        <w:rPr>
          <w:rFonts w:ascii="Times New Roman" w:eastAsia="Times New Roman" w:hAnsi="Times New Roman" w:cs="Times New Roman"/>
          <w:b/>
          <w:bCs/>
          <w:sz w:val="27"/>
          <w:szCs w:val="27"/>
        </w:rPr>
      </w:pPr>
      <w:r w:rsidRPr="004B5191">
        <w:rPr>
          <w:rFonts w:ascii="Times New Roman" w:eastAsia="Times New Roman" w:hAnsi="Times New Roman" w:cs="Times New Roman"/>
          <w:b/>
          <w:bCs/>
          <w:sz w:val="27"/>
          <w:szCs w:val="27"/>
        </w:rPr>
        <w:t>http://onlinelibrary.wiley.com/doi/10.1111/j.1528-1167.2005.00298.x/full</w:t>
      </w:r>
    </w:p>
    <w:p w:rsidR="00B96AF4" w:rsidRPr="00B96AF4" w:rsidRDefault="00B96AF4" w:rsidP="00B96AF4">
      <w:pPr>
        <w:spacing w:before="100" w:beforeAutospacing="1" w:after="100" w:afterAutospacing="1" w:line="240" w:lineRule="auto"/>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rPr>
        <w:t xml:space="preserve">The cellular basis of the BBB is at the level of the CNS microvasculature and consists morphologically of </w:t>
      </w:r>
      <w:proofErr w:type="spellStart"/>
      <w:r w:rsidRPr="00B96AF4">
        <w:rPr>
          <w:rFonts w:ascii="Times New Roman" w:eastAsia="Times New Roman" w:hAnsi="Times New Roman" w:cs="Times New Roman"/>
          <w:sz w:val="24"/>
          <w:szCs w:val="24"/>
        </w:rPr>
        <w:t>nonfenestrated</w:t>
      </w:r>
      <w:proofErr w:type="spellEnd"/>
      <w:r w:rsidRPr="00B96AF4">
        <w:rPr>
          <w:rFonts w:ascii="Times New Roman" w:eastAsia="Times New Roman" w:hAnsi="Times New Roman" w:cs="Times New Roman"/>
          <w:sz w:val="24"/>
          <w:szCs w:val="24"/>
        </w:rPr>
        <w:t xml:space="preserve"> endothelial cells with </w:t>
      </w:r>
      <w:proofErr w:type="spellStart"/>
      <w:r w:rsidRPr="00B96AF4">
        <w:rPr>
          <w:rFonts w:ascii="Times New Roman" w:eastAsia="Times New Roman" w:hAnsi="Times New Roman" w:cs="Times New Roman"/>
          <w:sz w:val="24"/>
          <w:szCs w:val="24"/>
        </w:rPr>
        <w:t>interendothelial</w:t>
      </w:r>
      <w:proofErr w:type="spellEnd"/>
      <w:r w:rsidRPr="00B96AF4">
        <w:rPr>
          <w:rFonts w:ascii="Times New Roman" w:eastAsia="Times New Roman" w:hAnsi="Times New Roman" w:cs="Times New Roman"/>
          <w:sz w:val="24"/>
          <w:szCs w:val="24"/>
        </w:rPr>
        <w:t xml:space="preserve"> tight junctions. In addition, the maintenance of the BBB function is dependent on normal functioning of </w:t>
      </w:r>
      <w:proofErr w:type="spellStart"/>
      <w:r w:rsidRPr="00B96AF4">
        <w:rPr>
          <w:rFonts w:ascii="Times New Roman" w:eastAsia="Times New Roman" w:hAnsi="Times New Roman" w:cs="Times New Roman"/>
          <w:sz w:val="24"/>
          <w:szCs w:val="24"/>
        </w:rPr>
        <w:t>pericytes</w:t>
      </w:r>
      <w:proofErr w:type="spellEnd"/>
      <w:r w:rsidRPr="00B96AF4">
        <w:rPr>
          <w:rFonts w:ascii="Times New Roman" w:eastAsia="Times New Roman" w:hAnsi="Times New Roman" w:cs="Times New Roman"/>
          <w:sz w:val="24"/>
          <w:szCs w:val="24"/>
        </w:rPr>
        <w:t xml:space="preserve">, </w:t>
      </w:r>
      <w:proofErr w:type="spellStart"/>
      <w:r w:rsidRPr="00B96AF4">
        <w:rPr>
          <w:rFonts w:ascii="Times New Roman" w:eastAsia="Times New Roman" w:hAnsi="Times New Roman" w:cs="Times New Roman"/>
          <w:sz w:val="24"/>
          <w:szCs w:val="24"/>
        </w:rPr>
        <w:t>perivascular</w:t>
      </w:r>
      <w:proofErr w:type="spellEnd"/>
      <w:r w:rsidRPr="00B96AF4">
        <w:rPr>
          <w:rFonts w:ascii="Times New Roman" w:eastAsia="Times New Roman" w:hAnsi="Times New Roman" w:cs="Times New Roman"/>
          <w:sz w:val="24"/>
          <w:szCs w:val="24"/>
        </w:rPr>
        <w:t xml:space="preserve"> microglia, </w:t>
      </w:r>
      <w:proofErr w:type="spellStart"/>
      <w:r w:rsidRPr="00B96AF4">
        <w:rPr>
          <w:rFonts w:ascii="Times New Roman" w:eastAsia="Times New Roman" w:hAnsi="Times New Roman" w:cs="Times New Roman"/>
          <w:sz w:val="24"/>
          <w:szCs w:val="24"/>
        </w:rPr>
        <w:t>astrocytes</w:t>
      </w:r>
      <w:proofErr w:type="spellEnd"/>
      <w:r w:rsidRPr="00B96AF4">
        <w:rPr>
          <w:rFonts w:ascii="Times New Roman" w:eastAsia="Times New Roman" w:hAnsi="Times New Roman" w:cs="Times New Roman"/>
          <w:sz w:val="24"/>
          <w:szCs w:val="24"/>
        </w:rPr>
        <w:t xml:space="preserve">, and the basal lamina, which </w:t>
      </w:r>
      <w:proofErr w:type="gramStart"/>
      <w:r w:rsidRPr="00B96AF4">
        <w:rPr>
          <w:rFonts w:ascii="Times New Roman" w:eastAsia="Times New Roman" w:hAnsi="Times New Roman" w:cs="Times New Roman"/>
          <w:sz w:val="24"/>
          <w:szCs w:val="24"/>
        </w:rPr>
        <w:t>are annexed</w:t>
      </w:r>
      <w:proofErr w:type="gramEnd"/>
      <w:r w:rsidRPr="00B96AF4">
        <w:rPr>
          <w:rFonts w:ascii="Times New Roman" w:eastAsia="Times New Roman" w:hAnsi="Times New Roman" w:cs="Times New Roman"/>
          <w:sz w:val="24"/>
          <w:szCs w:val="24"/>
        </w:rPr>
        <w:t xml:space="preserve"> to the capillary and </w:t>
      </w:r>
      <w:proofErr w:type="spellStart"/>
      <w:r w:rsidRPr="00B96AF4">
        <w:rPr>
          <w:rFonts w:ascii="Times New Roman" w:eastAsia="Times New Roman" w:hAnsi="Times New Roman" w:cs="Times New Roman"/>
          <w:sz w:val="24"/>
          <w:szCs w:val="24"/>
        </w:rPr>
        <w:t>postcapillary</w:t>
      </w:r>
      <w:proofErr w:type="spellEnd"/>
      <w:r w:rsidRPr="00B96AF4">
        <w:rPr>
          <w:rFonts w:ascii="Times New Roman" w:eastAsia="Times New Roman" w:hAnsi="Times New Roman" w:cs="Times New Roman"/>
          <w:sz w:val="24"/>
          <w:szCs w:val="24"/>
        </w:rPr>
        <w:t xml:space="preserve"> </w:t>
      </w:r>
      <w:proofErr w:type="spellStart"/>
      <w:r w:rsidRPr="00B96AF4">
        <w:rPr>
          <w:rFonts w:ascii="Times New Roman" w:eastAsia="Times New Roman" w:hAnsi="Times New Roman" w:cs="Times New Roman"/>
          <w:sz w:val="24"/>
          <w:szCs w:val="24"/>
        </w:rPr>
        <w:t>venules</w:t>
      </w:r>
      <w:proofErr w:type="spellEnd"/>
      <w:r w:rsidRPr="00B96AF4">
        <w:rPr>
          <w:rFonts w:ascii="Times New Roman" w:eastAsia="Times New Roman" w:hAnsi="Times New Roman" w:cs="Times New Roman"/>
          <w:sz w:val="24"/>
          <w:szCs w:val="24"/>
        </w:rPr>
        <w:t xml:space="preserve"> in the CNS. In some areas in the CNS, the BBB is incomplete or absent, such as the </w:t>
      </w:r>
      <w:proofErr w:type="spellStart"/>
      <w:r w:rsidRPr="00B96AF4">
        <w:rPr>
          <w:rFonts w:ascii="Times New Roman" w:eastAsia="Times New Roman" w:hAnsi="Times New Roman" w:cs="Times New Roman"/>
          <w:sz w:val="24"/>
          <w:szCs w:val="24"/>
        </w:rPr>
        <w:t>circumventricular</w:t>
      </w:r>
      <w:proofErr w:type="spellEnd"/>
      <w:r w:rsidRPr="00B96AF4">
        <w:rPr>
          <w:rFonts w:ascii="Times New Roman" w:eastAsia="Times New Roman" w:hAnsi="Times New Roman" w:cs="Times New Roman"/>
          <w:sz w:val="24"/>
          <w:szCs w:val="24"/>
        </w:rPr>
        <w:t xml:space="preserve"> organs and the choroid plexus. A blood–cerebrospinal fluid (CSF) barrier </w:t>
      </w:r>
      <w:proofErr w:type="gramStart"/>
      <w:r w:rsidRPr="00B96AF4">
        <w:rPr>
          <w:rFonts w:ascii="Times New Roman" w:eastAsia="Times New Roman" w:hAnsi="Times New Roman" w:cs="Times New Roman"/>
          <w:sz w:val="24"/>
          <w:szCs w:val="24"/>
        </w:rPr>
        <w:t>is found</w:t>
      </w:r>
      <w:proofErr w:type="gramEnd"/>
      <w:r w:rsidRPr="00B96AF4">
        <w:rPr>
          <w:rFonts w:ascii="Times New Roman" w:eastAsia="Times New Roman" w:hAnsi="Times New Roman" w:cs="Times New Roman"/>
          <w:sz w:val="24"/>
          <w:szCs w:val="24"/>
        </w:rPr>
        <w:t xml:space="preserve"> at the level of apical tight junctions in the choroid plexus epithelial cells.</w:t>
      </w:r>
    </w:p>
    <w:p w:rsidR="00B96AF4" w:rsidRPr="00B96AF4" w:rsidRDefault="00B96AF4" w:rsidP="00B96AF4">
      <w:pPr>
        <w:spacing w:before="100" w:beforeAutospacing="1" w:after="100" w:afterAutospacing="1" w:line="240" w:lineRule="auto"/>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rPr>
        <w:t>For more detailed information about the anatomic and physiologic characteristics of the BBB and blood–CSF barriers, see the comprehensive review articles (</w:t>
      </w:r>
      <w:hyperlink r:id="rId5" w:anchor="b11" w:tooltip="Link to bibliographic citations" w:history="1">
        <w:r w:rsidRPr="00B96AF4">
          <w:rPr>
            <w:rFonts w:ascii="Times New Roman" w:eastAsia="Times New Roman" w:hAnsi="Times New Roman" w:cs="Times New Roman"/>
            <w:color w:val="0000FF"/>
            <w:sz w:val="24"/>
            <w:szCs w:val="24"/>
            <w:u w:val="single"/>
          </w:rPr>
          <w:t>11</w:t>
        </w:r>
        <w:proofErr w:type="gramStart"/>
        <w:r w:rsidRPr="00B96AF4">
          <w:rPr>
            <w:rFonts w:ascii="Times New Roman" w:eastAsia="Times New Roman" w:hAnsi="Times New Roman" w:cs="Times New Roman"/>
            <w:color w:val="0000FF"/>
            <w:sz w:val="24"/>
            <w:szCs w:val="24"/>
            <w:u w:val="single"/>
          </w:rPr>
          <w:t>,12</w:t>
        </w:r>
        <w:proofErr w:type="gramEnd"/>
      </w:hyperlink>
      <w:r w:rsidRPr="00B96AF4">
        <w:rPr>
          <w:rFonts w:ascii="Times New Roman" w:eastAsia="Times New Roman" w:hAnsi="Times New Roman" w:cs="Times New Roman"/>
          <w:sz w:val="24"/>
          <w:szCs w:val="24"/>
        </w:rPr>
        <w:t>).</w:t>
      </w:r>
    </w:p>
    <w:p w:rsidR="00B96AF4" w:rsidRPr="00B96AF4" w:rsidRDefault="00B96AF4" w:rsidP="00B96AF4">
      <w:pPr>
        <w:spacing w:before="100" w:beforeAutospacing="1" w:after="100" w:afterAutospacing="1" w:line="240" w:lineRule="auto"/>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rPr>
        <w:t xml:space="preserve">Under normal physiologic conditions, </w:t>
      </w:r>
      <w:r w:rsidRPr="00B96AF4">
        <w:rPr>
          <w:rFonts w:ascii="Times New Roman" w:eastAsia="Times New Roman" w:hAnsi="Times New Roman" w:cs="Times New Roman"/>
          <w:b/>
          <w:sz w:val="24"/>
          <w:szCs w:val="24"/>
        </w:rPr>
        <w:t>the BBB provides protection of the CNS by strictly regulating the entry of plasma-born substances and immune cells into the nervous tissue.</w:t>
      </w:r>
      <w:r w:rsidRPr="00B96AF4">
        <w:rPr>
          <w:rFonts w:ascii="Times New Roman" w:eastAsia="Times New Roman" w:hAnsi="Times New Roman" w:cs="Times New Roman"/>
          <w:sz w:val="24"/>
          <w:szCs w:val="24"/>
        </w:rPr>
        <w:t xml:space="preserve"> A variety of </w:t>
      </w:r>
      <w:r w:rsidRPr="00B96AF4">
        <w:rPr>
          <w:rFonts w:ascii="Times New Roman" w:eastAsia="Times New Roman" w:hAnsi="Times New Roman" w:cs="Times New Roman"/>
          <w:b/>
          <w:sz w:val="24"/>
          <w:szCs w:val="24"/>
          <w:highlight w:val="yellow"/>
          <w:u w:val="single"/>
        </w:rPr>
        <w:t>CNS injuries [including seizures (</w:t>
      </w:r>
      <w:hyperlink r:id="rId6" w:anchor="b13" w:tooltip="Link to bibliographic citation" w:history="1">
        <w:r w:rsidRPr="00B96AF4">
          <w:rPr>
            <w:rFonts w:ascii="Times New Roman" w:eastAsia="Times New Roman" w:hAnsi="Times New Roman" w:cs="Times New Roman"/>
            <w:b/>
            <w:color w:val="0000FF"/>
            <w:sz w:val="24"/>
            <w:szCs w:val="24"/>
            <w:highlight w:val="yellow"/>
            <w:u w:val="single"/>
          </w:rPr>
          <w:t>13</w:t>
        </w:r>
      </w:hyperlink>
      <w:r w:rsidRPr="00B96AF4">
        <w:rPr>
          <w:rFonts w:ascii="Times New Roman" w:eastAsia="Times New Roman" w:hAnsi="Times New Roman" w:cs="Times New Roman"/>
          <w:b/>
          <w:sz w:val="24"/>
          <w:szCs w:val="24"/>
          <w:highlight w:val="yellow"/>
          <w:u w:val="single"/>
        </w:rPr>
        <w:t>), infections, traumatic and ischemic events] cause transient changes in the physiologic and structural features of the BBB.</w:t>
      </w:r>
      <w:r w:rsidRPr="00B96AF4">
        <w:rPr>
          <w:rFonts w:ascii="Times New Roman" w:eastAsia="Times New Roman" w:hAnsi="Times New Roman" w:cs="Times New Roman"/>
          <w:sz w:val="24"/>
          <w:szCs w:val="24"/>
        </w:rPr>
        <w:t xml:space="preserve"> In particular, an impairment of BBB integrity and an inflammatory state are common features of several neurologic conditions (</w:t>
      </w:r>
      <w:hyperlink r:id="rId7" w:anchor="b14" w:tooltip="Link to bibliographic citation" w:history="1">
        <w:r w:rsidRPr="00B96AF4">
          <w:rPr>
            <w:rFonts w:ascii="Times New Roman" w:eastAsia="Times New Roman" w:hAnsi="Times New Roman" w:cs="Times New Roman"/>
            <w:color w:val="0000FF"/>
            <w:sz w:val="24"/>
            <w:szCs w:val="24"/>
            <w:u w:val="single"/>
          </w:rPr>
          <w:t>14</w:t>
        </w:r>
      </w:hyperlink>
      <w:r w:rsidRPr="00B96AF4">
        <w:rPr>
          <w:rFonts w:ascii="Times New Roman" w:eastAsia="Times New Roman" w:hAnsi="Times New Roman" w:cs="Times New Roman"/>
          <w:sz w:val="24"/>
          <w:szCs w:val="24"/>
        </w:rPr>
        <w:t>) associated with the late onset of epilepsy.</w:t>
      </w:r>
    </w:p>
    <w:p w:rsidR="00B96AF4" w:rsidRPr="00B96AF4" w:rsidRDefault="00B96AF4" w:rsidP="00B96AF4">
      <w:pPr>
        <w:spacing w:before="100" w:beforeAutospacing="1" w:after="100" w:afterAutospacing="1" w:line="240" w:lineRule="auto"/>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rPr>
        <w:t xml:space="preserve">During inflammation, the enhanced production of cytokines by the endothelial cells of the BBB, the circulating immune cells, and brain </w:t>
      </w:r>
      <w:proofErr w:type="spellStart"/>
      <w:r w:rsidRPr="00B96AF4">
        <w:rPr>
          <w:rFonts w:ascii="Times New Roman" w:eastAsia="Times New Roman" w:hAnsi="Times New Roman" w:cs="Times New Roman"/>
          <w:sz w:val="24"/>
          <w:szCs w:val="24"/>
        </w:rPr>
        <w:t>parenchymal</w:t>
      </w:r>
      <w:proofErr w:type="spellEnd"/>
      <w:r w:rsidRPr="00B96AF4">
        <w:rPr>
          <w:rFonts w:ascii="Times New Roman" w:eastAsia="Times New Roman" w:hAnsi="Times New Roman" w:cs="Times New Roman"/>
          <w:sz w:val="24"/>
          <w:szCs w:val="24"/>
        </w:rPr>
        <w:t xml:space="preserve"> microglia and </w:t>
      </w:r>
      <w:proofErr w:type="spellStart"/>
      <w:r w:rsidRPr="00B96AF4">
        <w:rPr>
          <w:rFonts w:ascii="Times New Roman" w:eastAsia="Times New Roman" w:hAnsi="Times New Roman" w:cs="Times New Roman"/>
          <w:sz w:val="24"/>
          <w:szCs w:val="24"/>
        </w:rPr>
        <w:t>astrocytes</w:t>
      </w:r>
      <w:proofErr w:type="spellEnd"/>
      <w:r w:rsidRPr="00B96AF4">
        <w:rPr>
          <w:rFonts w:ascii="Times New Roman" w:eastAsia="Times New Roman" w:hAnsi="Times New Roman" w:cs="Times New Roman"/>
          <w:sz w:val="24"/>
          <w:szCs w:val="24"/>
        </w:rPr>
        <w:t xml:space="preserve"> results in the </w:t>
      </w:r>
      <w:proofErr w:type="spellStart"/>
      <w:r w:rsidRPr="00B96AF4">
        <w:rPr>
          <w:rFonts w:ascii="Times New Roman" w:eastAsia="Times New Roman" w:hAnsi="Times New Roman" w:cs="Times New Roman"/>
          <w:sz w:val="24"/>
          <w:szCs w:val="24"/>
        </w:rPr>
        <w:t>upregulation</w:t>
      </w:r>
      <w:proofErr w:type="spellEnd"/>
      <w:r w:rsidRPr="00B96AF4">
        <w:rPr>
          <w:rFonts w:ascii="Times New Roman" w:eastAsia="Times New Roman" w:hAnsi="Times New Roman" w:cs="Times New Roman"/>
          <w:sz w:val="24"/>
          <w:szCs w:val="24"/>
        </w:rPr>
        <w:t xml:space="preserve"> of adhesion molecules, activation of </w:t>
      </w:r>
      <w:proofErr w:type="spellStart"/>
      <w:r w:rsidRPr="00B96AF4">
        <w:rPr>
          <w:rFonts w:ascii="Times New Roman" w:eastAsia="Times New Roman" w:hAnsi="Times New Roman" w:cs="Times New Roman"/>
          <w:sz w:val="24"/>
          <w:szCs w:val="24"/>
        </w:rPr>
        <w:t>metalloproteinases</w:t>
      </w:r>
      <w:proofErr w:type="spellEnd"/>
      <w:r w:rsidRPr="00B96AF4">
        <w:rPr>
          <w:rFonts w:ascii="Times New Roman" w:eastAsia="Times New Roman" w:hAnsi="Times New Roman" w:cs="Times New Roman"/>
          <w:sz w:val="24"/>
          <w:szCs w:val="24"/>
        </w:rPr>
        <w:t xml:space="preserve">, and catabolism of </w:t>
      </w:r>
      <w:proofErr w:type="spellStart"/>
      <w:r w:rsidRPr="00B96AF4">
        <w:rPr>
          <w:rFonts w:ascii="Times New Roman" w:eastAsia="Times New Roman" w:hAnsi="Times New Roman" w:cs="Times New Roman"/>
          <w:sz w:val="24"/>
          <w:szCs w:val="24"/>
        </w:rPr>
        <w:t>arachidonic</w:t>
      </w:r>
      <w:proofErr w:type="spellEnd"/>
      <w:r w:rsidRPr="00B96AF4">
        <w:rPr>
          <w:rFonts w:ascii="Times New Roman" w:eastAsia="Times New Roman" w:hAnsi="Times New Roman" w:cs="Times New Roman"/>
          <w:sz w:val="24"/>
          <w:szCs w:val="24"/>
        </w:rPr>
        <w:t xml:space="preserve"> acid at the level of the brain microvasculature (</w:t>
      </w:r>
      <w:hyperlink r:id="rId8" w:anchor="b12" w:tooltip="Link to bibliographic citations" w:history="1">
        <w:r w:rsidRPr="00B96AF4">
          <w:rPr>
            <w:rFonts w:ascii="Times New Roman" w:eastAsia="Times New Roman" w:hAnsi="Times New Roman" w:cs="Times New Roman"/>
            <w:color w:val="0000FF"/>
            <w:sz w:val="24"/>
            <w:szCs w:val="24"/>
            <w:u w:val="single"/>
          </w:rPr>
          <w:t>12,15,16</w:t>
        </w:r>
      </w:hyperlink>
      <w:r w:rsidRPr="00B96AF4">
        <w:rPr>
          <w:rFonts w:ascii="Times New Roman" w:eastAsia="Times New Roman" w:hAnsi="Times New Roman" w:cs="Times New Roman"/>
          <w:sz w:val="24"/>
          <w:szCs w:val="24"/>
        </w:rPr>
        <w:t>). These events contribute to increase the permeability of the BBB through mechanisms that are not yet fully elucidated (</w:t>
      </w:r>
      <w:hyperlink r:id="rId9" w:anchor="b16" w:tooltip="Link to bibliographic citation" w:history="1">
        <w:r w:rsidRPr="00B96AF4">
          <w:rPr>
            <w:rFonts w:ascii="Times New Roman" w:eastAsia="Times New Roman" w:hAnsi="Times New Roman" w:cs="Times New Roman"/>
            <w:color w:val="0000FF"/>
            <w:sz w:val="24"/>
            <w:szCs w:val="24"/>
            <w:u w:val="single"/>
          </w:rPr>
          <w:t>16</w:t>
        </w:r>
      </w:hyperlink>
      <w:r w:rsidRPr="00B96AF4">
        <w:rPr>
          <w:rFonts w:ascii="Times New Roman" w:eastAsia="Times New Roman" w:hAnsi="Times New Roman" w:cs="Times New Roman"/>
          <w:sz w:val="24"/>
          <w:szCs w:val="24"/>
        </w:rPr>
        <w:t>).</w:t>
      </w:r>
    </w:p>
    <w:p w:rsidR="00B96AF4" w:rsidRPr="00B96AF4" w:rsidRDefault="00B96AF4" w:rsidP="00B96AF4">
      <w:pPr>
        <w:spacing w:before="100" w:beforeAutospacing="1" w:after="100" w:afterAutospacing="1" w:line="240" w:lineRule="auto"/>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highlight w:val="yellow"/>
        </w:rPr>
        <w:t>Inflammatory events at the BBB and blood–CSF barrier are pivotal for promoting the entry of leukocytes into the CNS</w:t>
      </w:r>
      <w:r w:rsidRPr="00B96AF4">
        <w:rPr>
          <w:rFonts w:ascii="Times New Roman" w:eastAsia="Times New Roman" w:hAnsi="Times New Roman" w:cs="Times New Roman"/>
          <w:sz w:val="24"/>
          <w:szCs w:val="24"/>
        </w:rPr>
        <w:t xml:space="preserve">, thus determining </w:t>
      </w:r>
      <w:proofErr w:type="spellStart"/>
      <w:r w:rsidRPr="00B96AF4">
        <w:rPr>
          <w:rFonts w:ascii="Times New Roman" w:eastAsia="Times New Roman" w:hAnsi="Times New Roman" w:cs="Times New Roman"/>
          <w:sz w:val="24"/>
          <w:szCs w:val="24"/>
        </w:rPr>
        <w:t>intrathecal</w:t>
      </w:r>
      <w:proofErr w:type="spellEnd"/>
      <w:r w:rsidRPr="00B96AF4">
        <w:rPr>
          <w:rFonts w:ascii="Times New Roman" w:eastAsia="Times New Roman" w:hAnsi="Times New Roman" w:cs="Times New Roman"/>
          <w:sz w:val="24"/>
          <w:szCs w:val="24"/>
        </w:rPr>
        <w:t xml:space="preserve"> immune reactivity (see later; </w:t>
      </w:r>
      <w:hyperlink r:id="rId10" w:anchor="f1" w:tooltip="Link to figure" w:history="1">
        <w:r w:rsidRPr="00B96AF4">
          <w:rPr>
            <w:rFonts w:ascii="Times New Roman" w:eastAsia="Times New Roman" w:hAnsi="Times New Roman" w:cs="Times New Roman"/>
            <w:color w:val="0000FF"/>
            <w:sz w:val="24"/>
            <w:szCs w:val="24"/>
            <w:u w:val="single"/>
          </w:rPr>
          <w:t>Fig. 1</w:t>
        </w:r>
      </w:hyperlink>
      <w:r w:rsidRPr="00B96AF4">
        <w:rPr>
          <w:rFonts w:ascii="Times New Roman" w:eastAsia="Times New Roman" w:hAnsi="Times New Roman" w:cs="Times New Roman"/>
          <w:sz w:val="24"/>
          <w:szCs w:val="24"/>
        </w:rPr>
        <w:t xml:space="preserve">). Although immune cells </w:t>
      </w:r>
      <w:proofErr w:type="gramStart"/>
      <w:r w:rsidRPr="00B96AF4">
        <w:rPr>
          <w:rFonts w:ascii="Times New Roman" w:eastAsia="Times New Roman" w:hAnsi="Times New Roman" w:cs="Times New Roman"/>
          <w:sz w:val="24"/>
          <w:szCs w:val="24"/>
        </w:rPr>
        <w:t>are found</w:t>
      </w:r>
      <w:proofErr w:type="gramEnd"/>
      <w:r w:rsidRPr="00B96AF4">
        <w:rPr>
          <w:rFonts w:ascii="Times New Roman" w:eastAsia="Times New Roman" w:hAnsi="Times New Roman" w:cs="Times New Roman"/>
          <w:sz w:val="24"/>
          <w:szCs w:val="24"/>
        </w:rPr>
        <w:t xml:space="preserve"> to patrol the CSF in the subarachnoid space, the </w:t>
      </w:r>
      <w:proofErr w:type="spellStart"/>
      <w:r w:rsidRPr="00B96AF4">
        <w:rPr>
          <w:rFonts w:ascii="Times New Roman" w:eastAsia="Times New Roman" w:hAnsi="Times New Roman" w:cs="Times New Roman"/>
          <w:sz w:val="24"/>
          <w:szCs w:val="24"/>
        </w:rPr>
        <w:t>perivascular</w:t>
      </w:r>
      <w:proofErr w:type="spellEnd"/>
      <w:r w:rsidRPr="00B96AF4">
        <w:rPr>
          <w:rFonts w:ascii="Times New Roman" w:eastAsia="Times New Roman" w:hAnsi="Times New Roman" w:cs="Times New Roman"/>
          <w:sz w:val="24"/>
          <w:szCs w:val="24"/>
        </w:rPr>
        <w:t xml:space="preserve"> Virchow–Robin space, and the choroid plexus, relatively few leukocytes are present in the CNS unless inflammation occurs (</w:t>
      </w:r>
      <w:hyperlink r:id="rId11" w:anchor="b3" w:tooltip="Link to bibliographic citation" w:history="1">
        <w:r w:rsidRPr="00B96AF4">
          <w:rPr>
            <w:rFonts w:ascii="Times New Roman" w:eastAsia="Times New Roman" w:hAnsi="Times New Roman" w:cs="Times New Roman"/>
            <w:color w:val="0000FF"/>
            <w:sz w:val="24"/>
            <w:szCs w:val="24"/>
            <w:u w:val="single"/>
          </w:rPr>
          <w:t>3</w:t>
        </w:r>
      </w:hyperlink>
      <w:r w:rsidRPr="00B96AF4">
        <w:rPr>
          <w:rFonts w:ascii="Times New Roman" w:eastAsia="Times New Roman" w:hAnsi="Times New Roman" w:cs="Times New Roman"/>
          <w:sz w:val="24"/>
          <w:szCs w:val="24"/>
        </w:rPr>
        <w:t xml:space="preserve">). One of the mechanisms by which cytokines contribute to the inflammatory response at the level of the BBB and blood–CSF barrier is by increasing the expression of </w:t>
      </w:r>
      <w:proofErr w:type="spellStart"/>
      <w:r w:rsidRPr="00B96AF4">
        <w:rPr>
          <w:rFonts w:ascii="Times New Roman" w:eastAsia="Times New Roman" w:hAnsi="Times New Roman" w:cs="Times New Roman"/>
          <w:sz w:val="24"/>
          <w:szCs w:val="24"/>
        </w:rPr>
        <w:t>selectins</w:t>
      </w:r>
      <w:proofErr w:type="spellEnd"/>
      <w:r w:rsidRPr="00B96AF4">
        <w:rPr>
          <w:rFonts w:ascii="Times New Roman" w:eastAsia="Times New Roman" w:hAnsi="Times New Roman" w:cs="Times New Roman"/>
          <w:sz w:val="24"/>
          <w:szCs w:val="24"/>
        </w:rPr>
        <w:t xml:space="preserve"> and adhesion molecules [e.g., intercellular adhesion molecule (ICAM)-1, vascular CAM (VCAM)-1, and platelet endothelial CAM (PECAM-1)], </w:t>
      </w:r>
      <w:proofErr w:type="spellStart"/>
      <w:r w:rsidRPr="00B96AF4">
        <w:rPr>
          <w:rFonts w:ascii="Times New Roman" w:eastAsia="Times New Roman" w:hAnsi="Times New Roman" w:cs="Times New Roman"/>
          <w:sz w:val="24"/>
          <w:szCs w:val="24"/>
        </w:rPr>
        <w:t>chemokines</w:t>
      </w:r>
      <w:proofErr w:type="spellEnd"/>
      <w:r w:rsidRPr="00B96AF4">
        <w:rPr>
          <w:rFonts w:ascii="Times New Roman" w:eastAsia="Times New Roman" w:hAnsi="Times New Roman" w:cs="Times New Roman"/>
          <w:sz w:val="24"/>
          <w:szCs w:val="24"/>
        </w:rPr>
        <w:t xml:space="preserve">, and their receptors on endothelial and epithelial cells. These molecules, by interacting with </w:t>
      </w:r>
      <w:proofErr w:type="spellStart"/>
      <w:r w:rsidRPr="00B96AF4">
        <w:rPr>
          <w:rFonts w:ascii="Times New Roman" w:eastAsia="Times New Roman" w:hAnsi="Times New Roman" w:cs="Times New Roman"/>
          <w:sz w:val="24"/>
          <w:szCs w:val="24"/>
        </w:rPr>
        <w:t>integrin</w:t>
      </w:r>
      <w:proofErr w:type="spellEnd"/>
      <w:r w:rsidRPr="00B96AF4">
        <w:rPr>
          <w:rFonts w:ascii="Times New Roman" w:eastAsia="Times New Roman" w:hAnsi="Times New Roman" w:cs="Times New Roman"/>
          <w:sz w:val="24"/>
          <w:szCs w:val="24"/>
        </w:rPr>
        <w:t xml:space="preserve"> molecules on leukocyte membrane surface, are responsible for leukocyte recruitment from the bloodstream, promoting their adhesion and eventual entry into the </w:t>
      </w:r>
      <w:proofErr w:type="spellStart"/>
      <w:r w:rsidRPr="00B96AF4">
        <w:rPr>
          <w:rFonts w:ascii="Times New Roman" w:eastAsia="Times New Roman" w:hAnsi="Times New Roman" w:cs="Times New Roman"/>
          <w:sz w:val="24"/>
          <w:szCs w:val="24"/>
        </w:rPr>
        <w:t>perivascular</w:t>
      </w:r>
      <w:proofErr w:type="spellEnd"/>
      <w:r w:rsidRPr="00B96AF4">
        <w:rPr>
          <w:rFonts w:ascii="Times New Roman" w:eastAsia="Times New Roman" w:hAnsi="Times New Roman" w:cs="Times New Roman"/>
          <w:sz w:val="24"/>
          <w:szCs w:val="24"/>
        </w:rPr>
        <w:t xml:space="preserve"> space, CSF, and CNS parenchyma (</w:t>
      </w:r>
      <w:hyperlink r:id="rId12" w:anchor="b3" w:tooltip="Link to bibliographic citation" w:history="1">
        <w:r w:rsidRPr="00B96AF4">
          <w:rPr>
            <w:rFonts w:ascii="Times New Roman" w:eastAsia="Times New Roman" w:hAnsi="Times New Roman" w:cs="Times New Roman"/>
            <w:color w:val="0000FF"/>
            <w:sz w:val="24"/>
            <w:szCs w:val="24"/>
            <w:u w:val="single"/>
          </w:rPr>
          <w:t>3</w:t>
        </w:r>
      </w:hyperlink>
      <w:r w:rsidRPr="00B96AF4">
        <w:rPr>
          <w:rFonts w:ascii="Times New Roman" w:eastAsia="Times New Roman" w:hAnsi="Times New Roman" w:cs="Times New Roman"/>
          <w:sz w:val="24"/>
          <w:szCs w:val="24"/>
        </w:rPr>
        <w:t>).</w:t>
      </w:r>
    </w:p>
    <w:p w:rsidR="00B96AF4" w:rsidRPr="00B96AF4" w:rsidRDefault="00B96AF4" w:rsidP="00B96AF4">
      <w:pPr>
        <w:spacing w:before="100" w:beforeAutospacing="1" w:after="100" w:afterAutospacing="1" w:line="240" w:lineRule="auto"/>
        <w:rPr>
          <w:rFonts w:ascii="Times New Roman" w:eastAsia="Times New Roman" w:hAnsi="Times New Roman" w:cs="Times New Roman"/>
          <w:sz w:val="24"/>
          <w:szCs w:val="24"/>
        </w:rPr>
      </w:pPr>
      <w:proofErr w:type="gramStart"/>
      <w:r w:rsidRPr="00B96AF4">
        <w:rPr>
          <w:rFonts w:ascii="Times New Roman" w:eastAsia="Times New Roman" w:hAnsi="Times New Roman" w:cs="Times New Roman"/>
          <w:sz w:val="24"/>
          <w:szCs w:val="24"/>
        </w:rPr>
        <w:t>Figure 1.</w:t>
      </w:r>
      <w:proofErr w:type="gramEnd"/>
      <w:r w:rsidRPr="00B96AF4">
        <w:rPr>
          <w:rFonts w:ascii="Times New Roman" w:eastAsia="Times New Roman" w:hAnsi="Times New Roman" w:cs="Times New Roman"/>
          <w:sz w:val="24"/>
          <w:szCs w:val="24"/>
        </w:rPr>
        <w:t xml:space="preserve"> </w:t>
      </w:r>
      <w:proofErr w:type="gramStart"/>
      <w:r w:rsidRPr="00B96AF4">
        <w:rPr>
          <w:rFonts w:ascii="Times New Roman" w:eastAsia="Times New Roman" w:hAnsi="Times New Roman" w:cs="Times New Roman"/>
          <w:sz w:val="24"/>
          <w:szCs w:val="24"/>
        </w:rPr>
        <w:t>Schematic representation of the cerebral vasculature and CSF circulation and their relation to inflammatory mediators and antigen transport.</w:t>
      </w:r>
      <w:proofErr w:type="gramEnd"/>
      <w:r w:rsidRPr="00B96AF4">
        <w:rPr>
          <w:rFonts w:ascii="Times New Roman" w:eastAsia="Times New Roman" w:hAnsi="Times New Roman" w:cs="Times New Roman"/>
          <w:sz w:val="24"/>
          <w:szCs w:val="24"/>
        </w:rPr>
        <w:t xml:space="preserve"> Antigenic products (Ag) </w:t>
      </w:r>
      <w:proofErr w:type="gramStart"/>
      <w:r w:rsidRPr="00B96AF4">
        <w:rPr>
          <w:rFonts w:ascii="Times New Roman" w:eastAsia="Times New Roman" w:hAnsi="Times New Roman" w:cs="Times New Roman"/>
          <w:sz w:val="24"/>
          <w:szCs w:val="24"/>
        </w:rPr>
        <w:t>can be drained</w:t>
      </w:r>
      <w:proofErr w:type="gramEnd"/>
      <w:r w:rsidRPr="00B96AF4">
        <w:rPr>
          <w:rFonts w:ascii="Times New Roman" w:eastAsia="Times New Roman" w:hAnsi="Times New Roman" w:cs="Times New Roman"/>
          <w:sz w:val="24"/>
          <w:szCs w:val="24"/>
        </w:rPr>
        <w:t xml:space="preserve"> from the brain parenchyma to the CSF. From this compartment, Ag may circulate along the ventricular system into the subarachnoid space; from </w:t>
      </w:r>
      <w:proofErr w:type="gramStart"/>
      <w:r w:rsidRPr="00B96AF4">
        <w:rPr>
          <w:rFonts w:ascii="Times New Roman" w:eastAsia="Times New Roman" w:hAnsi="Times New Roman" w:cs="Times New Roman"/>
          <w:sz w:val="24"/>
          <w:szCs w:val="24"/>
        </w:rPr>
        <w:t>here</w:t>
      </w:r>
      <w:proofErr w:type="gramEnd"/>
      <w:r w:rsidRPr="00B96AF4">
        <w:rPr>
          <w:rFonts w:ascii="Times New Roman" w:eastAsia="Times New Roman" w:hAnsi="Times New Roman" w:cs="Times New Roman"/>
          <w:sz w:val="24"/>
          <w:szCs w:val="24"/>
        </w:rPr>
        <w:t xml:space="preserve"> Ag can enter the venous sinuses through the </w:t>
      </w:r>
      <w:proofErr w:type="spellStart"/>
      <w:r w:rsidRPr="00B96AF4">
        <w:rPr>
          <w:rFonts w:ascii="Times New Roman" w:eastAsia="Times New Roman" w:hAnsi="Times New Roman" w:cs="Times New Roman"/>
          <w:sz w:val="24"/>
          <w:szCs w:val="24"/>
        </w:rPr>
        <w:t>arachnoid</w:t>
      </w:r>
      <w:proofErr w:type="spellEnd"/>
      <w:r w:rsidRPr="00B96AF4">
        <w:rPr>
          <w:rFonts w:ascii="Times New Roman" w:eastAsia="Times New Roman" w:hAnsi="Times New Roman" w:cs="Times New Roman"/>
          <w:sz w:val="24"/>
          <w:szCs w:val="24"/>
        </w:rPr>
        <w:t xml:space="preserve"> </w:t>
      </w:r>
      <w:proofErr w:type="spellStart"/>
      <w:r w:rsidRPr="00B96AF4">
        <w:rPr>
          <w:rFonts w:ascii="Times New Roman" w:eastAsia="Times New Roman" w:hAnsi="Times New Roman" w:cs="Times New Roman"/>
          <w:sz w:val="24"/>
          <w:szCs w:val="24"/>
        </w:rPr>
        <w:t>villi</w:t>
      </w:r>
      <w:proofErr w:type="spellEnd"/>
      <w:r w:rsidRPr="00B96AF4">
        <w:rPr>
          <w:rFonts w:ascii="Times New Roman" w:eastAsia="Times New Roman" w:hAnsi="Times New Roman" w:cs="Times New Roman"/>
          <w:sz w:val="24"/>
          <w:szCs w:val="24"/>
        </w:rPr>
        <w:t xml:space="preserve"> and reach the systemic circulation. Alternatively, they can drain into </w:t>
      </w:r>
      <w:r w:rsidRPr="00B96AF4">
        <w:rPr>
          <w:rFonts w:ascii="Times New Roman" w:eastAsia="Times New Roman" w:hAnsi="Times New Roman" w:cs="Times New Roman"/>
          <w:sz w:val="24"/>
          <w:szCs w:val="24"/>
        </w:rPr>
        <w:lastRenderedPageBreak/>
        <w:t xml:space="preserve">the cervical lymph nodes, traveling along the subarachnoid and </w:t>
      </w:r>
      <w:proofErr w:type="spellStart"/>
      <w:r w:rsidRPr="00B96AF4">
        <w:rPr>
          <w:rFonts w:ascii="Times New Roman" w:eastAsia="Times New Roman" w:hAnsi="Times New Roman" w:cs="Times New Roman"/>
          <w:sz w:val="24"/>
          <w:szCs w:val="24"/>
        </w:rPr>
        <w:t>perivascular</w:t>
      </w:r>
      <w:proofErr w:type="spellEnd"/>
      <w:r w:rsidRPr="00B96AF4">
        <w:rPr>
          <w:rFonts w:ascii="Times New Roman" w:eastAsia="Times New Roman" w:hAnsi="Times New Roman" w:cs="Times New Roman"/>
          <w:sz w:val="24"/>
          <w:szCs w:val="24"/>
        </w:rPr>
        <w:t xml:space="preserve"> space. Trafficking of leukocytes into the CNS may occur through at least three routes: (a) Leukocytes can migrate into the brain following the formation route of CSF. They can </w:t>
      </w:r>
      <w:proofErr w:type="spellStart"/>
      <w:r w:rsidRPr="00B96AF4">
        <w:rPr>
          <w:rFonts w:ascii="Times New Roman" w:eastAsia="Times New Roman" w:hAnsi="Times New Roman" w:cs="Times New Roman"/>
          <w:sz w:val="24"/>
          <w:szCs w:val="24"/>
        </w:rPr>
        <w:t>extravasate</w:t>
      </w:r>
      <w:proofErr w:type="spellEnd"/>
      <w:r w:rsidRPr="00B96AF4">
        <w:rPr>
          <w:rFonts w:ascii="Times New Roman" w:eastAsia="Times New Roman" w:hAnsi="Times New Roman" w:cs="Times New Roman"/>
          <w:sz w:val="24"/>
          <w:szCs w:val="24"/>
        </w:rPr>
        <w:t xml:space="preserve"> through the fenestrated endothelium of the </w:t>
      </w:r>
      <w:proofErr w:type="spellStart"/>
      <w:r w:rsidRPr="00B96AF4">
        <w:rPr>
          <w:rFonts w:ascii="Times New Roman" w:eastAsia="Times New Roman" w:hAnsi="Times New Roman" w:cs="Times New Roman"/>
          <w:sz w:val="24"/>
          <w:szCs w:val="24"/>
        </w:rPr>
        <w:t>chroid</w:t>
      </w:r>
      <w:proofErr w:type="spellEnd"/>
      <w:r w:rsidRPr="00B96AF4">
        <w:rPr>
          <w:rFonts w:ascii="Times New Roman" w:eastAsia="Times New Roman" w:hAnsi="Times New Roman" w:cs="Times New Roman"/>
          <w:sz w:val="24"/>
          <w:szCs w:val="24"/>
        </w:rPr>
        <w:t xml:space="preserve"> plexus, migrate across the </w:t>
      </w:r>
      <w:proofErr w:type="spellStart"/>
      <w:r w:rsidRPr="00B96AF4">
        <w:rPr>
          <w:rFonts w:ascii="Times New Roman" w:eastAsia="Times New Roman" w:hAnsi="Times New Roman" w:cs="Times New Roman"/>
          <w:sz w:val="24"/>
          <w:szCs w:val="24"/>
        </w:rPr>
        <w:t>stroma</w:t>
      </w:r>
      <w:proofErr w:type="spellEnd"/>
      <w:r w:rsidRPr="00B96AF4">
        <w:rPr>
          <w:rFonts w:ascii="Times New Roman" w:eastAsia="Times New Roman" w:hAnsi="Times New Roman" w:cs="Times New Roman"/>
          <w:sz w:val="24"/>
          <w:szCs w:val="24"/>
        </w:rPr>
        <w:t xml:space="preserve"> core, interact with the epithelial cells, and enter the CSF. </w:t>
      </w:r>
      <w:proofErr w:type="gramStart"/>
      <w:r w:rsidRPr="00B96AF4">
        <w:rPr>
          <w:rFonts w:ascii="Times New Roman" w:eastAsia="Times New Roman" w:hAnsi="Times New Roman" w:cs="Times New Roman"/>
          <w:sz w:val="24"/>
          <w:szCs w:val="24"/>
        </w:rPr>
        <w:t xml:space="preserve">This route may be one by which immune cells enter the brain in physiologic conditions (the CSF of healthy individuals contains </w:t>
      </w:r>
      <w:r w:rsidRPr="00B96AF4">
        <w:rPr>
          <w:rFonts w:ascii="Cambria Math" w:eastAsia="Times New Roman" w:hAnsi="Cambria Math" w:cs="Cambria Math"/>
          <w:sz w:val="24"/>
          <w:szCs w:val="24"/>
        </w:rPr>
        <w:t>∼</w:t>
      </w:r>
      <w:r w:rsidRPr="00B96AF4">
        <w:rPr>
          <w:rFonts w:ascii="Times New Roman" w:eastAsia="Times New Roman" w:hAnsi="Times New Roman" w:cs="Times New Roman"/>
          <w:sz w:val="24"/>
          <w:szCs w:val="24"/>
        </w:rPr>
        <w:t xml:space="preserve">3,000 leukocytes/ml); (b) Leukocytes can have access to the brain via the arterial blood supply by </w:t>
      </w:r>
      <w:proofErr w:type="spellStart"/>
      <w:r w:rsidRPr="00B96AF4">
        <w:rPr>
          <w:rFonts w:ascii="Times New Roman" w:eastAsia="Times New Roman" w:hAnsi="Times New Roman" w:cs="Times New Roman"/>
          <w:sz w:val="24"/>
          <w:szCs w:val="24"/>
        </w:rPr>
        <w:t>extravasating</w:t>
      </w:r>
      <w:proofErr w:type="spellEnd"/>
      <w:r w:rsidRPr="00B96AF4">
        <w:rPr>
          <w:rFonts w:ascii="Times New Roman" w:eastAsia="Times New Roman" w:hAnsi="Times New Roman" w:cs="Times New Roman"/>
          <w:sz w:val="24"/>
          <w:szCs w:val="24"/>
        </w:rPr>
        <w:t xml:space="preserve"> at the </w:t>
      </w:r>
      <w:proofErr w:type="spellStart"/>
      <w:r w:rsidRPr="00B96AF4">
        <w:rPr>
          <w:rFonts w:ascii="Times New Roman" w:eastAsia="Times New Roman" w:hAnsi="Times New Roman" w:cs="Times New Roman"/>
          <w:sz w:val="24"/>
          <w:szCs w:val="24"/>
        </w:rPr>
        <w:t>pial</w:t>
      </w:r>
      <w:proofErr w:type="spellEnd"/>
      <w:r w:rsidRPr="00B96AF4">
        <w:rPr>
          <w:rFonts w:ascii="Times New Roman" w:eastAsia="Times New Roman" w:hAnsi="Times New Roman" w:cs="Times New Roman"/>
          <w:sz w:val="24"/>
          <w:szCs w:val="24"/>
        </w:rPr>
        <w:t xml:space="preserve"> surface of the brain into the subarachnoid space and across the Virchow–Robin </w:t>
      </w:r>
      <w:proofErr w:type="spellStart"/>
      <w:r w:rsidRPr="00B96AF4">
        <w:rPr>
          <w:rFonts w:ascii="Times New Roman" w:eastAsia="Times New Roman" w:hAnsi="Times New Roman" w:cs="Times New Roman"/>
          <w:sz w:val="24"/>
          <w:szCs w:val="24"/>
        </w:rPr>
        <w:t>perivascular</w:t>
      </w:r>
      <w:proofErr w:type="spellEnd"/>
      <w:r w:rsidRPr="00B96AF4">
        <w:rPr>
          <w:rFonts w:ascii="Times New Roman" w:eastAsia="Times New Roman" w:hAnsi="Times New Roman" w:cs="Times New Roman"/>
          <w:sz w:val="24"/>
          <w:szCs w:val="24"/>
        </w:rPr>
        <w:t xml:space="preserve"> spaces, which are in direct contact with the CSF compartment.</w:t>
      </w:r>
      <w:proofErr w:type="gramEnd"/>
      <w:r w:rsidRPr="00B96AF4">
        <w:rPr>
          <w:rFonts w:ascii="Times New Roman" w:eastAsia="Times New Roman" w:hAnsi="Times New Roman" w:cs="Times New Roman"/>
          <w:sz w:val="24"/>
          <w:szCs w:val="24"/>
        </w:rPr>
        <w:t xml:space="preserve"> In rodent, the cervical lymph nodes </w:t>
      </w:r>
      <w:proofErr w:type="gramStart"/>
      <w:r w:rsidRPr="00B96AF4">
        <w:rPr>
          <w:rFonts w:ascii="Times New Roman" w:eastAsia="Times New Roman" w:hAnsi="Times New Roman" w:cs="Times New Roman"/>
          <w:sz w:val="24"/>
          <w:szCs w:val="24"/>
        </w:rPr>
        <w:t>are connected</w:t>
      </w:r>
      <w:proofErr w:type="gramEnd"/>
      <w:r w:rsidRPr="00B96AF4">
        <w:rPr>
          <w:rFonts w:ascii="Times New Roman" w:eastAsia="Times New Roman" w:hAnsi="Times New Roman" w:cs="Times New Roman"/>
          <w:sz w:val="24"/>
          <w:szCs w:val="24"/>
        </w:rPr>
        <w:t xml:space="preserve"> by nasal </w:t>
      </w:r>
      <w:proofErr w:type="spellStart"/>
      <w:r w:rsidRPr="00B96AF4">
        <w:rPr>
          <w:rFonts w:ascii="Times New Roman" w:eastAsia="Times New Roman" w:hAnsi="Times New Roman" w:cs="Times New Roman"/>
          <w:sz w:val="24"/>
          <w:szCs w:val="24"/>
        </w:rPr>
        <w:t>lymphatics</w:t>
      </w:r>
      <w:proofErr w:type="spellEnd"/>
      <w:r w:rsidRPr="00B96AF4">
        <w:rPr>
          <w:rFonts w:ascii="Times New Roman" w:eastAsia="Times New Roman" w:hAnsi="Times New Roman" w:cs="Times New Roman"/>
          <w:sz w:val="24"/>
          <w:szCs w:val="24"/>
        </w:rPr>
        <w:t xml:space="preserve"> to subarachnoid space and </w:t>
      </w:r>
      <w:proofErr w:type="spellStart"/>
      <w:r w:rsidRPr="00B96AF4">
        <w:rPr>
          <w:rFonts w:ascii="Times New Roman" w:eastAsia="Times New Roman" w:hAnsi="Times New Roman" w:cs="Times New Roman"/>
          <w:sz w:val="24"/>
          <w:szCs w:val="24"/>
        </w:rPr>
        <w:t>perivascular</w:t>
      </w:r>
      <w:proofErr w:type="spellEnd"/>
      <w:r w:rsidRPr="00B96AF4">
        <w:rPr>
          <w:rFonts w:ascii="Times New Roman" w:eastAsia="Times New Roman" w:hAnsi="Times New Roman" w:cs="Times New Roman"/>
          <w:sz w:val="24"/>
          <w:szCs w:val="24"/>
        </w:rPr>
        <w:t xml:space="preserve"> space at the olfactory bulbs; (c) Leukocytes can enter the brain parenchyma by </w:t>
      </w:r>
      <w:proofErr w:type="spellStart"/>
      <w:r w:rsidRPr="00B96AF4">
        <w:rPr>
          <w:rFonts w:ascii="Times New Roman" w:eastAsia="Times New Roman" w:hAnsi="Times New Roman" w:cs="Times New Roman"/>
          <w:sz w:val="24"/>
          <w:szCs w:val="24"/>
        </w:rPr>
        <w:t>extravasation</w:t>
      </w:r>
      <w:proofErr w:type="spellEnd"/>
      <w:r w:rsidRPr="00B96AF4">
        <w:rPr>
          <w:rFonts w:ascii="Times New Roman" w:eastAsia="Times New Roman" w:hAnsi="Times New Roman" w:cs="Times New Roman"/>
          <w:sz w:val="24"/>
          <w:szCs w:val="24"/>
        </w:rPr>
        <w:t xml:space="preserve"> across the blood–brain barrier </w:t>
      </w:r>
      <w:proofErr w:type="spellStart"/>
      <w:r w:rsidRPr="00B96AF4">
        <w:rPr>
          <w:rFonts w:ascii="Times New Roman" w:eastAsia="Times New Roman" w:hAnsi="Times New Roman" w:cs="Times New Roman"/>
          <w:sz w:val="24"/>
          <w:szCs w:val="24"/>
        </w:rPr>
        <w:t>nonfenestrated</w:t>
      </w:r>
      <w:proofErr w:type="spellEnd"/>
      <w:r w:rsidRPr="00B96AF4">
        <w:rPr>
          <w:rFonts w:ascii="Times New Roman" w:eastAsia="Times New Roman" w:hAnsi="Times New Roman" w:cs="Times New Roman"/>
          <w:sz w:val="24"/>
          <w:szCs w:val="24"/>
        </w:rPr>
        <w:t xml:space="preserve"> endothelium and basal lamina. Antigen-presenting cells such as </w:t>
      </w:r>
      <w:proofErr w:type="spellStart"/>
      <w:r w:rsidRPr="00B96AF4">
        <w:rPr>
          <w:rFonts w:ascii="Times New Roman" w:eastAsia="Times New Roman" w:hAnsi="Times New Roman" w:cs="Times New Roman"/>
          <w:sz w:val="24"/>
          <w:szCs w:val="24"/>
        </w:rPr>
        <w:t>dendritic</w:t>
      </w:r>
      <w:proofErr w:type="spellEnd"/>
      <w:r w:rsidRPr="00B96AF4">
        <w:rPr>
          <w:rFonts w:ascii="Times New Roman" w:eastAsia="Times New Roman" w:hAnsi="Times New Roman" w:cs="Times New Roman"/>
          <w:sz w:val="24"/>
          <w:szCs w:val="24"/>
        </w:rPr>
        <w:t xml:space="preserve"> cells and macrophages are found in the subarachnoid space, in the </w:t>
      </w:r>
      <w:proofErr w:type="spellStart"/>
      <w:r w:rsidRPr="00B96AF4">
        <w:rPr>
          <w:rFonts w:ascii="Times New Roman" w:eastAsia="Times New Roman" w:hAnsi="Times New Roman" w:cs="Times New Roman"/>
          <w:sz w:val="24"/>
          <w:szCs w:val="24"/>
        </w:rPr>
        <w:t>perivascular</w:t>
      </w:r>
      <w:proofErr w:type="spellEnd"/>
      <w:r w:rsidRPr="00B96AF4">
        <w:rPr>
          <w:rFonts w:ascii="Times New Roman" w:eastAsia="Times New Roman" w:hAnsi="Times New Roman" w:cs="Times New Roman"/>
          <w:sz w:val="24"/>
          <w:szCs w:val="24"/>
        </w:rPr>
        <w:t xml:space="preserve"> space, and in the choroid plexus, whereas microglia are located in brain parenchyma; at these locations, these cells may encounter circulating CNS-borne antigens. (Adapted from </w:t>
      </w:r>
      <w:proofErr w:type="spellStart"/>
      <w:r w:rsidRPr="00B96AF4">
        <w:rPr>
          <w:rFonts w:ascii="Times New Roman" w:eastAsia="Times New Roman" w:hAnsi="Times New Roman" w:cs="Times New Roman"/>
          <w:sz w:val="24"/>
          <w:szCs w:val="24"/>
        </w:rPr>
        <w:t>Aloisi</w:t>
      </w:r>
      <w:proofErr w:type="spellEnd"/>
      <w:r w:rsidRPr="00B96AF4">
        <w:rPr>
          <w:rFonts w:ascii="Times New Roman" w:eastAsia="Times New Roman" w:hAnsi="Times New Roman" w:cs="Times New Roman"/>
          <w:sz w:val="24"/>
          <w:szCs w:val="24"/>
        </w:rPr>
        <w:t xml:space="preserve"> F, </w:t>
      </w:r>
      <w:proofErr w:type="spellStart"/>
      <w:r w:rsidRPr="00B96AF4">
        <w:rPr>
          <w:rFonts w:ascii="Times New Roman" w:eastAsia="Times New Roman" w:hAnsi="Times New Roman" w:cs="Times New Roman"/>
          <w:sz w:val="24"/>
          <w:szCs w:val="24"/>
        </w:rPr>
        <w:t>Ria</w:t>
      </w:r>
      <w:proofErr w:type="spellEnd"/>
      <w:r w:rsidRPr="00B96AF4">
        <w:rPr>
          <w:rFonts w:ascii="Times New Roman" w:eastAsia="Times New Roman" w:hAnsi="Times New Roman" w:cs="Times New Roman"/>
          <w:sz w:val="24"/>
          <w:szCs w:val="24"/>
        </w:rPr>
        <w:t xml:space="preserve"> F, </w:t>
      </w:r>
      <w:proofErr w:type="spellStart"/>
      <w:proofErr w:type="gramStart"/>
      <w:r w:rsidRPr="00B96AF4">
        <w:rPr>
          <w:rFonts w:ascii="Times New Roman" w:eastAsia="Times New Roman" w:hAnsi="Times New Roman" w:cs="Times New Roman"/>
          <w:sz w:val="24"/>
          <w:szCs w:val="24"/>
        </w:rPr>
        <w:t>Adorini</w:t>
      </w:r>
      <w:proofErr w:type="spellEnd"/>
      <w:proofErr w:type="gramEnd"/>
      <w:r w:rsidRPr="00B96AF4">
        <w:rPr>
          <w:rFonts w:ascii="Times New Roman" w:eastAsia="Times New Roman" w:hAnsi="Times New Roman" w:cs="Times New Roman"/>
          <w:sz w:val="24"/>
          <w:szCs w:val="24"/>
        </w:rPr>
        <w:t xml:space="preserve"> L. Regulation of T-cell responses by CNS antigen-presenting cells: different roles for microglia and </w:t>
      </w:r>
      <w:proofErr w:type="spellStart"/>
      <w:r w:rsidRPr="00B96AF4">
        <w:rPr>
          <w:rFonts w:ascii="Times New Roman" w:eastAsia="Times New Roman" w:hAnsi="Times New Roman" w:cs="Times New Roman"/>
          <w:sz w:val="24"/>
          <w:szCs w:val="24"/>
        </w:rPr>
        <w:t>astrocytes</w:t>
      </w:r>
      <w:proofErr w:type="spellEnd"/>
      <w:r w:rsidRPr="00B96AF4">
        <w:rPr>
          <w:rFonts w:ascii="Times New Roman" w:eastAsia="Times New Roman" w:hAnsi="Times New Roman" w:cs="Times New Roman"/>
          <w:sz w:val="24"/>
          <w:szCs w:val="24"/>
        </w:rPr>
        <w:t xml:space="preserve">. </w:t>
      </w:r>
      <w:proofErr w:type="spellStart"/>
      <w:r w:rsidRPr="00B96AF4">
        <w:rPr>
          <w:rFonts w:ascii="Times New Roman" w:eastAsia="Times New Roman" w:hAnsi="Times New Roman" w:cs="Times New Roman"/>
          <w:i/>
          <w:iCs/>
          <w:sz w:val="24"/>
          <w:szCs w:val="24"/>
        </w:rPr>
        <w:t>Immunol</w:t>
      </w:r>
      <w:proofErr w:type="spellEnd"/>
      <w:r w:rsidRPr="00B96AF4">
        <w:rPr>
          <w:rFonts w:ascii="Times New Roman" w:eastAsia="Times New Roman" w:hAnsi="Times New Roman" w:cs="Times New Roman"/>
          <w:i/>
          <w:iCs/>
          <w:sz w:val="24"/>
          <w:szCs w:val="24"/>
        </w:rPr>
        <w:t xml:space="preserve"> Today</w:t>
      </w:r>
      <w:r w:rsidRPr="00B96AF4">
        <w:rPr>
          <w:rFonts w:ascii="Times New Roman" w:eastAsia="Times New Roman" w:hAnsi="Times New Roman" w:cs="Times New Roman"/>
          <w:sz w:val="24"/>
          <w:szCs w:val="24"/>
        </w:rPr>
        <w:t xml:space="preserve"> 2000</w:t>
      </w:r>
      <w:proofErr w:type="gramStart"/>
      <w:r w:rsidRPr="00B96AF4">
        <w:rPr>
          <w:rFonts w:ascii="Times New Roman" w:eastAsia="Times New Roman" w:hAnsi="Times New Roman" w:cs="Times New Roman"/>
          <w:sz w:val="24"/>
          <w:szCs w:val="24"/>
        </w:rPr>
        <w:t>;21:141</w:t>
      </w:r>
      <w:proofErr w:type="gramEnd"/>
      <w:r w:rsidRPr="00B96AF4">
        <w:rPr>
          <w:rFonts w:ascii="Times New Roman" w:eastAsia="Times New Roman" w:hAnsi="Times New Roman" w:cs="Times New Roman"/>
          <w:sz w:val="24"/>
          <w:szCs w:val="24"/>
        </w:rPr>
        <w:t>–7, with permission.)</w:t>
      </w:r>
    </w:p>
    <w:p w:rsidR="00B96AF4" w:rsidRPr="00B96AF4" w:rsidRDefault="00B96AF4" w:rsidP="00B9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1200150"/>
            <wp:effectExtent l="19050" t="0" r="0" b="0"/>
            <wp:docPr id="1" name="f1_img" descr="image">
              <a:hlinkClick xmlns:a="http://schemas.openxmlformats.org/drawingml/2006/main" r:id="rId13" tooltip="&quot;Link to full-size 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_img" descr="image">
                      <a:hlinkClick r:id="rId13" tooltip="&quot;Link to full-size figure&quot;"/>
                    </pic:cNvPr>
                    <pic:cNvPicPr>
                      <a:picLocks noChangeAspect="1" noChangeArrowheads="1"/>
                    </pic:cNvPicPr>
                  </pic:nvPicPr>
                  <pic:blipFill>
                    <a:blip r:embed="rId14" cstate="print"/>
                    <a:srcRect/>
                    <a:stretch>
                      <a:fillRect/>
                    </a:stretch>
                  </pic:blipFill>
                  <pic:spPr bwMode="auto">
                    <a:xfrm>
                      <a:off x="0" y="0"/>
                      <a:ext cx="1428750" cy="1200150"/>
                    </a:xfrm>
                    <a:prstGeom prst="rect">
                      <a:avLst/>
                    </a:prstGeom>
                    <a:noFill/>
                    <a:ln w="9525">
                      <a:noFill/>
                      <a:miter lim="800000"/>
                      <a:headEnd/>
                      <a:tailEnd/>
                    </a:ln>
                  </pic:spPr>
                </pic:pic>
              </a:graphicData>
            </a:graphic>
          </wp:inline>
        </w:drawing>
      </w:r>
    </w:p>
    <w:p w:rsidR="00B96AF4" w:rsidRPr="00B96AF4" w:rsidRDefault="00B96AF4" w:rsidP="00B96AF4">
      <w:pPr>
        <w:spacing w:before="100" w:beforeAutospacing="1" w:after="100" w:afterAutospacing="1" w:line="240" w:lineRule="auto"/>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rPr>
        <w:t>During inflammatory/immune reactions, activated T cells can enter the CNS by at least three different routes:</w:t>
      </w:r>
    </w:p>
    <w:p w:rsidR="00B96AF4" w:rsidRPr="00B96AF4" w:rsidRDefault="00B96AF4" w:rsidP="00B96A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rPr>
        <w:t>1</w:t>
      </w:r>
    </w:p>
    <w:p w:rsidR="00B96AF4" w:rsidRPr="00B96AF4" w:rsidRDefault="00B96AF4" w:rsidP="00B96AF4">
      <w:pPr>
        <w:spacing w:before="100" w:beforeAutospacing="1" w:after="100" w:afterAutospacing="1" w:line="240" w:lineRule="auto"/>
        <w:ind w:left="720"/>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rPr>
        <w:t xml:space="preserve">The first pathway follows the formation of CSF; leukocytes </w:t>
      </w:r>
      <w:proofErr w:type="spellStart"/>
      <w:r w:rsidRPr="00B96AF4">
        <w:rPr>
          <w:rFonts w:ascii="Times New Roman" w:eastAsia="Times New Roman" w:hAnsi="Times New Roman" w:cs="Times New Roman"/>
          <w:sz w:val="24"/>
          <w:szCs w:val="24"/>
        </w:rPr>
        <w:t>extravasate</w:t>
      </w:r>
      <w:proofErr w:type="spellEnd"/>
      <w:r w:rsidRPr="00B96AF4">
        <w:rPr>
          <w:rFonts w:ascii="Times New Roman" w:eastAsia="Times New Roman" w:hAnsi="Times New Roman" w:cs="Times New Roman"/>
          <w:sz w:val="24"/>
          <w:szCs w:val="24"/>
        </w:rPr>
        <w:t xml:space="preserve"> across the fenestrated endothelium in the choroid plexus </w:t>
      </w:r>
      <w:proofErr w:type="spellStart"/>
      <w:r w:rsidRPr="00B96AF4">
        <w:rPr>
          <w:rFonts w:ascii="Times New Roman" w:eastAsia="Times New Roman" w:hAnsi="Times New Roman" w:cs="Times New Roman"/>
          <w:sz w:val="24"/>
          <w:szCs w:val="24"/>
        </w:rPr>
        <w:t>stroma</w:t>
      </w:r>
      <w:proofErr w:type="spellEnd"/>
      <w:r w:rsidRPr="00B96AF4">
        <w:rPr>
          <w:rFonts w:ascii="Times New Roman" w:eastAsia="Times New Roman" w:hAnsi="Times New Roman" w:cs="Times New Roman"/>
          <w:sz w:val="24"/>
          <w:szCs w:val="24"/>
        </w:rPr>
        <w:t>, cross the epithelium of the choroid plexus, and enter the CSF.</w:t>
      </w:r>
    </w:p>
    <w:p w:rsidR="00B96AF4" w:rsidRPr="00B96AF4" w:rsidRDefault="00B96AF4" w:rsidP="00B96A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rPr>
        <w:t>2</w:t>
      </w:r>
    </w:p>
    <w:p w:rsidR="00B96AF4" w:rsidRPr="00B96AF4" w:rsidRDefault="00B96AF4" w:rsidP="00B96AF4">
      <w:pPr>
        <w:spacing w:before="100" w:beforeAutospacing="1" w:after="100" w:afterAutospacing="1" w:line="240" w:lineRule="auto"/>
        <w:ind w:left="720"/>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rPr>
        <w:t xml:space="preserve">Leukocytes can </w:t>
      </w:r>
      <w:proofErr w:type="spellStart"/>
      <w:r w:rsidRPr="00B96AF4">
        <w:rPr>
          <w:rFonts w:ascii="Times New Roman" w:eastAsia="Times New Roman" w:hAnsi="Times New Roman" w:cs="Times New Roman"/>
          <w:sz w:val="24"/>
          <w:szCs w:val="24"/>
        </w:rPr>
        <w:t>extravasate</w:t>
      </w:r>
      <w:proofErr w:type="spellEnd"/>
      <w:r w:rsidRPr="00B96AF4">
        <w:rPr>
          <w:rFonts w:ascii="Times New Roman" w:eastAsia="Times New Roman" w:hAnsi="Times New Roman" w:cs="Times New Roman"/>
          <w:sz w:val="24"/>
          <w:szCs w:val="24"/>
        </w:rPr>
        <w:t xml:space="preserve"> across </w:t>
      </w:r>
      <w:proofErr w:type="spellStart"/>
      <w:r w:rsidRPr="00B96AF4">
        <w:rPr>
          <w:rFonts w:ascii="Times New Roman" w:eastAsia="Times New Roman" w:hAnsi="Times New Roman" w:cs="Times New Roman"/>
          <w:sz w:val="24"/>
          <w:szCs w:val="24"/>
        </w:rPr>
        <w:t>postcapillary</w:t>
      </w:r>
      <w:proofErr w:type="spellEnd"/>
      <w:r w:rsidRPr="00B96AF4">
        <w:rPr>
          <w:rFonts w:ascii="Times New Roman" w:eastAsia="Times New Roman" w:hAnsi="Times New Roman" w:cs="Times New Roman"/>
          <w:sz w:val="24"/>
          <w:szCs w:val="24"/>
        </w:rPr>
        <w:t xml:space="preserve"> </w:t>
      </w:r>
      <w:proofErr w:type="spellStart"/>
      <w:r w:rsidRPr="00B96AF4">
        <w:rPr>
          <w:rFonts w:ascii="Times New Roman" w:eastAsia="Times New Roman" w:hAnsi="Times New Roman" w:cs="Times New Roman"/>
          <w:sz w:val="24"/>
          <w:szCs w:val="24"/>
        </w:rPr>
        <w:t>venules</w:t>
      </w:r>
      <w:proofErr w:type="spellEnd"/>
      <w:r w:rsidRPr="00B96AF4">
        <w:rPr>
          <w:rFonts w:ascii="Times New Roman" w:eastAsia="Times New Roman" w:hAnsi="Times New Roman" w:cs="Times New Roman"/>
          <w:sz w:val="24"/>
          <w:szCs w:val="24"/>
        </w:rPr>
        <w:t xml:space="preserve"> at the </w:t>
      </w:r>
      <w:proofErr w:type="spellStart"/>
      <w:r w:rsidRPr="00B96AF4">
        <w:rPr>
          <w:rFonts w:ascii="Times New Roman" w:eastAsia="Times New Roman" w:hAnsi="Times New Roman" w:cs="Times New Roman"/>
          <w:sz w:val="24"/>
          <w:szCs w:val="24"/>
        </w:rPr>
        <w:t>pial</w:t>
      </w:r>
      <w:proofErr w:type="spellEnd"/>
      <w:r w:rsidRPr="00B96AF4">
        <w:rPr>
          <w:rFonts w:ascii="Times New Roman" w:eastAsia="Times New Roman" w:hAnsi="Times New Roman" w:cs="Times New Roman"/>
          <w:sz w:val="24"/>
          <w:szCs w:val="24"/>
        </w:rPr>
        <w:t xml:space="preserve"> surface of the brain into the subarachnoid space and the Virchow–Robin </w:t>
      </w:r>
      <w:proofErr w:type="spellStart"/>
      <w:r w:rsidRPr="00B96AF4">
        <w:rPr>
          <w:rFonts w:ascii="Times New Roman" w:eastAsia="Times New Roman" w:hAnsi="Times New Roman" w:cs="Times New Roman"/>
          <w:sz w:val="24"/>
          <w:szCs w:val="24"/>
        </w:rPr>
        <w:t>perivascular</w:t>
      </w:r>
      <w:proofErr w:type="spellEnd"/>
      <w:r w:rsidRPr="00B96AF4">
        <w:rPr>
          <w:rFonts w:ascii="Times New Roman" w:eastAsia="Times New Roman" w:hAnsi="Times New Roman" w:cs="Times New Roman"/>
          <w:sz w:val="24"/>
          <w:szCs w:val="24"/>
        </w:rPr>
        <w:t xml:space="preserve"> space, which is in direct communication with the CSF.</w:t>
      </w:r>
    </w:p>
    <w:p w:rsidR="00B96AF4" w:rsidRPr="00B96AF4" w:rsidRDefault="00B96AF4" w:rsidP="00B96A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rPr>
        <w:t>3</w:t>
      </w:r>
    </w:p>
    <w:p w:rsidR="00B96AF4" w:rsidRPr="00B96AF4" w:rsidRDefault="00B96AF4" w:rsidP="00B96AF4">
      <w:pPr>
        <w:spacing w:before="100" w:beforeAutospacing="1" w:after="100" w:afterAutospacing="1" w:line="240" w:lineRule="auto"/>
        <w:ind w:left="720"/>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rPr>
        <w:t xml:space="preserve">Leukocytes cross the BBB and the endothelial basal lamina of the </w:t>
      </w:r>
      <w:proofErr w:type="spellStart"/>
      <w:r w:rsidRPr="00B96AF4">
        <w:rPr>
          <w:rFonts w:ascii="Times New Roman" w:eastAsia="Times New Roman" w:hAnsi="Times New Roman" w:cs="Times New Roman"/>
          <w:sz w:val="24"/>
          <w:szCs w:val="24"/>
        </w:rPr>
        <w:t>postcapillary</w:t>
      </w:r>
      <w:proofErr w:type="spellEnd"/>
      <w:r w:rsidRPr="00B96AF4">
        <w:rPr>
          <w:rFonts w:ascii="Times New Roman" w:eastAsia="Times New Roman" w:hAnsi="Times New Roman" w:cs="Times New Roman"/>
          <w:sz w:val="24"/>
          <w:szCs w:val="24"/>
        </w:rPr>
        <w:t xml:space="preserve"> </w:t>
      </w:r>
      <w:proofErr w:type="spellStart"/>
      <w:r w:rsidRPr="00B96AF4">
        <w:rPr>
          <w:rFonts w:ascii="Times New Roman" w:eastAsia="Times New Roman" w:hAnsi="Times New Roman" w:cs="Times New Roman"/>
          <w:sz w:val="24"/>
          <w:szCs w:val="24"/>
        </w:rPr>
        <w:t>venules</w:t>
      </w:r>
      <w:proofErr w:type="spellEnd"/>
      <w:r w:rsidRPr="00B96AF4">
        <w:rPr>
          <w:rFonts w:ascii="Times New Roman" w:eastAsia="Times New Roman" w:hAnsi="Times New Roman" w:cs="Times New Roman"/>
          <w:sz w:val="24"/>
          <w:szCs w:val="24"/>
        </w:rPr>
        <w:t xml:space="preserve"> [(</w:t>
      </w:r>
      <w:hyperlink r:id="rId15" w:anchor="b3" w:tooltip="Link to bibliographic citation" w:history="1">
        <w:r w:rsidRPr="00B96AF4">
          <w:rPr>
            <w:rFonts w:ascii="Times New Roman" w:eastAsia="Times New Roman" w:hAnsi="Times New Roman" w:cs="Times New Roman"/>
            <w:color w:val="0000FF"/>
            <w:sz w:val="24"/>
            <w:szCs w:val="24"/>
            <w:u w:val="single"/>
          </w:rPr>
          <w:t>3</w:t>
        </w:r>
      </w:hyperlink>
      <w:r w:rsidRPr="00B96AF4">
        <w:rPr>
          <w:rFonts w:ascii="Times New Roman" w:eastAsia="Times New Roman" w:hAnsi="Times New Roman" w:cs="Times New Roman"/>
          <w:sz w:val="24"/>
          <w:szCs w:val="24"/>
        </w:rPr>
        <w:t xml:space="preserve">); see </w:t>
      </w:r>
      <w:hyperlink r:id="rId16" w:anchor="f1" w:tooltip="Link to figure" w:history="1">
        <w:r w:rsidRPr="00B96AF4">
          <w:rPr>
            <w:rFonts w:ascii="Times New Roman" w:eastAsia="Times New Roman" w:hAnsi="Times New Roman" w:cs="Times New Roman"/>
            <w:color w:val="0000FF"/>
            <w:sz w:val="24"/>
            <w:szCs w:val="24"/>
            <w:u w:val="single"/>
          </w:rPr>
          <w:t>Fig. 1</w:t>
        </w:r>
      </w:hyperlink>
      <w:r w:rsidRPr="00B96AF4">
        <w:rPr>
          <w:rFonts w:ascii="Times New Roman" w:eastAsia="Times New Roman" w:hAnsi="Times New Roman" w:cs="Times New Roman"/>
          <w:sz w:val="24"/>
          <w:szCs w:val="24"/>
        </w:rPr>
        <w:t>].</w:t>
      </w:r>
    </w:p>
    <w:p w:rsidR="00B96AF4" w:rsidRPr="00B96AF4" w:rsidRDefault="00B96AF4" w:rsidP="00B96AF4">
      <w:pPr>
        <w:spacing w:before="100" w:beforeAutospacing="1" w:after="100" w:afterAutospacing="1" w:line="240" w:lineRule="auto"/>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rPr>
        <w:lastRenderedPageBreak/>
        <w:t xml:space="preserve">Leukocytes </w:t>
      </w:r>
      <w:proofErr w:type="gramStart"/>
      <w:r w:rsidRPr="00B96AF4">
        <w:rPr>
          <w:rFonts w:ascii="Times New Roman" w:eastAsia="Times New Roman" w:hAnsi="Times New Roman" w:cs="Times New Roman"/>
          <w:sz w:val="24"/>
          <w:szCs w:val="24"/>
        </w:rPr>
        <w:t xml:space="preserve">can be </w:t>
      </w:r>
      <w:proofErr w:type="spellStart"/>
      <w:r w:rsidRPr="00B96AF4">
        <w:rPr>
          <w:rFonts w:ascii="Times New Roman" w:eastAsia="Times New Roman" w:hAnsi="Times New Roman" w:cs="Times New Roman"/>
          <w:sz w:val="24"/>
          <w:szCs w:val="24"/>
        </w:rPr>
        <w:t>restimulated</w:t>
      </w:r>
      <w:proofErr w:type="spellEnd"/>
      <w:r w:rsidRPr="00B96AF4">
        <w:rPr>
          <w:rFonts w:ascii="Times New Roman" w:eastAsia="Times New Roman" w:hAnsi="Times New Roman" w:cs="Times New Roman"/>
          <w:sz w:val="24"/>
          <w:szCs w:val="24"/>
        </w:rPr>
        <w:t xml:space="preserve"> in the CNS by APCs circulating in the subarachnoid or </w:t>
      </w:r>
      <w:proofErr w:type="spellStart"/>
      <w:r w:rsidRPr="00B96AF4">
        <w:rPr>
          <w:rFonts w:ascii="Times New Roman" w:eastAsia="Times New Roman" w:hAnsi="Times New Roman" w:cs="Times New Roman"/>
          <w:sz w:val="24"/>
          <w:szCs w:val="24"/>
        </w:rPr>
        <w:t>perivascular</w:t>
      </w:r>
      <w:proofErr w:type="spellEnd"/>
      <w:r w:rsidRPr="00B96AF4">
        <w:rPr>
          <w:rFonts w:ascii="Times New Roman" w:eastAsia="Times New Roman" w:hAnsi="Times New Roman" w:cs="Times New Roman"/>
          <w:sz w:val="24"/>
          <w:szCs w:val="24"/>
        </w:rPr>
        <w:t xml:space="preserve"> space or by APCs located in the brain parenchyma</w:t>
      </w:r>
      <w:proofErr w:type="gramEnd"/>
      <w:r w:rsidRPr="00B96AF4">
        <w:rPr>
          <w:rFonts w:ascii="Times New Roman" w:eastAsia="Times New Roman" w:hAnsi="Times New Roman" w:cs="Times New Roman"/>
          <w:sz w:val="24"/>
          <w:szCs w:val="24"/>
        </w:rPr>
        <w:t xml:space="preserve">. Antigenic proteins in the CNS, which are mostly </w:t>
      </w:r>
      <w:proofErr w:type="spellStart"/>
      <w:r w:rsidRPr="00B96AF4">
        <w:rPr>
          <w:rFonts w:ascii="Times New Roman" w:eastAsia="Times New Roman" w:hAnsi="Times New Roman" w:cs="Times New Roman"/>
          <w:sz w:val="24"/>
          <w:szCs w:val="24"/>
        </w:rPr>
        <w:t>inacessible</w:t>
      </w:r>
      <w:proofErr w:type="spellEnd"/>
      <w:r w:rsidRPr="00B96AF4">
        <w:rPr>
          <w:rFonts w:ascii="Times New Roman" w:eastAsia="Times New Roman" w:hAnsi="Times New Roman" w:cs="Times New Roman"/>
          <w:sz w:val="24"/>
          <w:szCs w:val="24"/>
        </w:rPr>
        <w:t xml:space="preserve"> to T cells because of the restrictive nature of the BBB and the lack of a conventional lymphatic system, may become available to recognition by the action of APCs. Thus during inflammatory conditions, microglia and macrophages, endothelial cells of the BBB, and epithelial cells of the choroid plexus are all capable of presenting antigens to T cells (</w:t>
      </w:r>
      <w:hyperlink r:id="rId17" w:anchor="b1" w:tooltip="Link to bibliographic citations" w:history="1">
        <w:r w:rsidRPr="00B96AF4">
          <w:rPr>
            <w:rFonts w:ascii="Times New Roman" w:eastAsia="Times New Roman" w:hAnsi="Times New Roman" w:cs="Times New Roman"/>
            <w:color w:val="0000FF"/>
            <w:sz w:val="24"/>
            <w:szCs w:val="24"/>
            <w:u w:val="single"/>
          </w:rPr>
          <w:t>1,17–19</w:t>
        </w:r>
      </w:hyperlink>
      <w:r w:rsidRPr="00B96AF4">
        <w:rPr>
          <w:rFonts w:ascii="Times New Roman" w:eastAsia="Times New Roman" w:hAnsi="Times New Roman" w:cs="Times New Roman"/>
          <w:sz w:val="24"/>
          <w:szCs w:val="24"/>
        </w:rPr>
        <w:t xml:space="preserve">). These APCs can express major </w:t>
      </w:r>
      <w:proofErr w:type="spellStart"/>
      <w:r w:rsidRPr="00B96AF4">
        <w:rPr>
          <w:rFonts w:ascii="Times New Roman" w:eastAsia="Times New Roman" w:hAnsi="Times New Roman" w:cs="Times New Roman"/>
          <w:sz w:val="24"/>
          <w:szCs w:val="24"/>
        </w:rPr>
        <w:t>histocompatibility</w:t>
      </w:r>
      <w:proofErr w:type="spellEnd"/>
      <w:r w:rsidRPr="00B96AF4">
        <w:rPr>
          <w:rFonts w:ascii="Times New Roman" w:eastAsia="Times New Roman" w:hAnsi="Times New Roman" w:cs="Times New Roman"/>
          <w:sz w:val="24"/>
          <w:szCs w:val="24"/>
        </w:rPr>
        <w:t xml:space="preserve"> complex (MHC) class I and II and </w:t>
      </w:r>
      <w:proofErr w:type="spellStart"/>
      <w:r w:rsidRPr="00B96AF4">
        <w:rPr>
          <w:rFonts w:ascii="Times New Roman" w:eastAsia="Times New Roman" w:hAnsi="Times New Roman" w:cs="Times New Roman"/>
          <w:sz w:val="24"/>
          <w:szCs w:val="24"/>
        </w:rPr>
        <w:t>costimulatory</w:t>
      </w:r>
      <w:proofErr w:type="spellEnd"/>
      <w:r w:rsidRPr="00B96AF4">
        <w:rPr>
          <w:rFonts w:ascii="Times New Roman" w:eastAsia="Times New Roman" w:hAnsi="Times New Roman" w:cs="Times New Roman"/>
          <w:sz w:val="24"/>
          <w:szCs w:val="24"/>
        </w:rPr>
        <w:t xml:space="preserve"> molecules during inflammation, which are essentials for T lymphocytes to recognize and respond to an antigenic peptide. Endothelial cells, unlike </w:t>
      </w:r>
      <w:proofErr w:type="spellStart"/>
      <w:r w:rsidRPr="00B96AF4">
        <w:rPr>
          <w:rFonts w:ascii="Times New Roman" w:eastAsia="Times New Roman" w:hAnsi="Times New Roman" w:cs="Times New Roman"/>
          <w:sz w:val="24"/>
          <w:szCs w:val="24"/>
        </w:rPr>
        <w:t>perivascular</w:t>
      </w:r>
      <w:proofErr w:type="spellEnd"/>
      <w:r w:rsidRPr="00B96AF4">
        <w:rPr>
          <w:rFonts w:ascii="Times New Roman" w:eastAsia="Times New Roman" w:hAnsi="Times New Roman" w:cs="Times New Roman"/>
          <w:sz w:val="24"/>
          <w:szCs w:val="24"/>
        </w:rPr>
        <w:t xml:space="preserve"> microglia, do not constitutively express MHC class II molecules; however, they </w:t>
      </w:r>
      <w:proofErr w:type="gramStart"/>
      <w:r w:rsidRPr="00B96AF4">
        <w:rPr>
          <w:rFonts w:ascii="Times New Roman" w:eastAsia="Times New Roman" w:hAnsi="Times New Roman" w:cs="Times New Roman"/>
          <w:sz w:val="24"/>
          <w:szCs w:val="24"/>
        </w:rPr>
        <w:t>can be induced</w:t>
      </w:r>
      <w:proofErr w:type="gramEnd"/>
      <w:r w:rsidRPr="00B96AF4">
        <w:rPr>
          <w:rFonts w:ascii="Times New Roman" w:eastAsia="Times New Roman" w:hAnsi="Times New Roman" w:cs="Times New Roman"/>
          <w:sz w:val="24"/>
          <w:szCs w:val="24"/>
        </w:rPr>
        <w:t xml:space="preserve"> to express these molecules by a variety of cytokines. The role of MHC class II on </w:t>
      </w:r>
      <w:proofErr w:type="spellStart"/>
      <w:r w:rsidRPr="00B96AF4">
        <w:rPr>
          <w:rFonts w:ascii="Times New Roman" w:eastAsia="Times New Roman" w:hAnsi="Times New Roman" w:cs="Times New Roman"/>
          <w:sz w:val="24"/>
          <w:szCs w:val="24"/>
        </w:rPr>
        <w:t>astroglia</w:t>
      </w:r>
      <w:proofErr w:type="spellEnd"/>
      <w:r w:rsidRPr="00B96AF4">
        <w:rPr>
          <w:rFonts w:ascii="Times New Roman" w:eastAsia="Times New Roman" w:hAnsi="Times New Roman" w:cs="Times New Roman"/>
          <w:sz w:val="24"/>
          <w:szCs w:val="24"/>
        </w:rPr>
        <w:t xml:space="preserve"> remains elusive, and a prevailing view is that these cells exert a negative </w:t>
      </w:r>
      <w:proofErr w:type="spellStart"/>
      <w:r w:rsidRPr="00B96AF4">
        <w:rPr>
          <w:rFonts w:ascii="Times New Roman" w:eastAsia="Times New Roman" w:hAnsi="Times New Roman" w:cs="Times New Roman"/>
          <w:sz w:val="24"/>
          <w:szCs w:val="24"/>
        </w:rPr>
        <w:t>immunoregulatory</w:t>
      </w:r>
      <w:proofErr w:type="spellEnd"/>
      <w:r w:rsidRPr="00B96AF4">
        <w:rPr>
          <w:rFonts w:ascii="Times New Roman" w:eastAsia="Times New Roman" w:hAnsi="Times New Roman" w:cs="Times New Roman"/>
          <w:sz w:val="24"/>
          <w:szCs w:val="24"/>
        </w:rPr>
        <w:t xml:space="preserve"> function by favoring the induction of a nonresponsive state by the T cells (</w:t>
      </w:r>
      <w:hyperlink r:id="rId18" w:anchor="b17" w:tooltip="Link to bibliographic citation" w:history="1">
        <w:r w:rsidRPr="00B96AF4">
          <w:rPr>
            <w:rFonts w:ascii="Times New Roman" w:eastAsia="Times New Roman" w:hAnsi="Times New Roman" w:cs="Times New Roman"/>
            <w:color w:val="0000FF"/>
            <w:sz w:val="24"/>
            <w:szCs w:val="24"/>
            <w:u w:val="single"/>
          </w:rPr>
          <w:t>17</w:t>
        </w:r>
      </w:hyperlink>
      <w:r w:rsidRPr="00B96AF4">
        <w:rPr>
          <w:rFonts w:ascii="Times New Roman" w:eastAsia="Times New Roman" w:hAnsi="Times New Roman" w:cs="Times New Roman"/>
          <w:sz w:val="24"/>
          <w:szCs w:val="24"/>
        </w:rPr>
        <w:t>).</w:t>
      </w:r>
    </w:p>
    <w:p w:rsidR="00B96AF4" w:rsidRPr="00B96AF4" w:rsidRDefault="00B96AF4" w:rsidP="00B96AF4">
      <w:pPr>
        <w:spacing w:before="100" w:beforeAutospacing="1" w:after="100" w:afterAutospacing="1" w:line="240" w:lineRule="auto"/>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rPr>
        <w:t xml:space="preserve">In addition to be expressed on the surface of APCs, antigenic proteins may drain from the CNS into the cervical lymph nodes along the CSF-draining pathways or enter the venous sinuses </w:t>
      </w:r>
      <w:proofErr w:type="gramStart"/>
      <w:r w:rsidRPr="00B96AF4">
        <w:rPr>
          <w:rFonts w:ascii="Times New Roman" w:eastAsia="Times New Roman" w:hAnsi="Times New Roman" w:cs="Times New Roman"/>
          <w:sz w:val="24"/>
          <w:szCs w:val="24"/>
        </w:rPr>
        <w:t>through</w:t>
      </w:r>
      <w:proofErr w:type="gramEnd"/>
      <w:r w:rsidRPr="00B96AF4">
        <w:rPr>
          <w:rFonts w:ascii="Times New Roman" w:eastAsia="Times New Roman" w:hAnsi="Times New Roman" w:cs="Times New Roman"/>
          <w:sz w:val="24"/>
          <w:szCs w:val="24"/>
        </w:rPr>
        <w:t xml:space="preserve"> </w:t>
      </w:r>
      <w:proofErr w:type="spellStart"/>
      <w:r w:rsidRPr="00B96AF4">
        <w:rPr>
          <w:rFonts w:ascii="Times New Roman" w:eastAsia="Times New Roman" w:hAnsi="Times New Roman" w:cs="Times New Roman"/>
          <w:sz w:val="24"/>
          <w:szCs w:val="24"/>
        </w:rPr>
        <w:t>arachnoid</w:t>
      </w:r>
      <w:proofErr w:type="spellEnd"/>
      <w:r w:rsidRPr="00B96AF4">
        <w:rPr>
          <w:rFonts w:ascii="Times New Roman" w:eastAsia="Times New Roman" w:hAnsi="Times New Roman" w:cs="Times New Roman"/>
          <w:sz w:val="24"/>
          <w:szCs w:val="24"/>
        </w:rPr>
        <w:t xml:space="preserve"> </w:t>
      </w:r>
      <w:proofErr w:type="spellStart"/>
      <w:r w:rsidRPr="00B96AF4">
        <w:rPr>
          <w:rFonts w:ascii="Times New Roman" w:eastAsia="Times New Roman" w:hAnsi="Times New Roman" w:cs="Times New Roman"/>
          <w:sz w:val="24"/>
          <w:szCs w:val="24"/>
        </w:rPr>
        <w:t>villi</w:t>
      </w:r>
      <w:proofErr w:type="spellEnd"/>
      <w:r w:rsidRPr="00B96AF4">
        <w:rPr>
          <w:rFonts w:ascii="Times New Roman" w:eastAsia="Times New Roman" w:hAnsi="Times New Roman" w:cs="Times New Roman"/>
          <w:sz w:val="24"/>
          <w:szCs w:val="24"/>
        </w:rPr>
        <w:t xml:space="preserve"> and reach the spleen (</w:t>
      </w:r>
      <w:hyperlink r:id="rId19" w:anchor="b3" w:tooltip="Link to bibliographic citations" w:history="1">
        <w:r w:rsidRPr="00B96AF4">
          <w:rPr>
            <w:rFonts w:ascii="Times New Roman" w:eastAsia="Times New Roman" w:hAnsi="Times New Roman" w:cs="Times New Roman"/>
            <w:color w:val="0000FF"/>
            <w:sz w:val="24"/>
            <w:szCs w:val="24"/>
            <w:u w:val="single"/>
          </w:rPr>
          <w:t>3,17</w:t>
        </w:r>
      </w:hyperlink>
      <w:r w:rsidRPr="00B96AF4">
        <w:rPr>
          <w:rFonts w:ascii="Times New Roman" w:eastAsia="Times New Roman" w:hAnsi="Times New Roman" w:cs="Times New Roman"/>
          <w:sz w:val="24"/>
          <w:szCs w:val="24"/>
        </w:rPr>
        <w:t xml:space="preserve">) (see </w:t>
      </w:r>
      <w:hyperlink r:id="rId20" w:anchor="f1" w:tooltip="Link to figure" w:history="1">
        <w:r w:rsidRPr="00B96AF4">
          <w:rPr>
            <w:rFonts w:ascii="Times New Roman" w:eastAsia="Times New Roman" w:hAnsi="Times New Roman" w:cs="Times New Roman"/>
            <w:color w:val="0000FF"/>
            <w:sz w:val="24"/>
            <w:szCs w:val="24"/>
            <w:u w:val="single"/>
          </w:rPr>
          <w:t>Fig. 1</w:t>
        </w:r>
      </w:hyperlink>
      <w:r w:rsidRPr="00B96AF4">
        <w:rPr>
          <w:rFonts w:ascii="Times New Roman" w:eastAsia="Times New Roman" w:hAnsi="Times New Roman" w:cs="Times New Roman"/>
          <w:sz w:val="24"/>
          <w:szCs w:val="24"/>
        </w:rPr>
        <w:t xml:space="preserve">). CNS antigens also </w:t>
      </w:r>
      <w:proofErr w:type="gramStart"/>
      <w:r w:rsidRPr="00B96AF4">
        <w:rPr>
          <w:rFonts w:ascii="Times New Roman" w:eastAsia="Times New Roman" w:hAnsi="Times New Roman" w:cs="Times New Roman"/>
          <w:sz w:val="24"/>
          <w:szCs w:val="24"/>
        </w:rPr>
        <w:t>may be presented</w:t>
      </w:r>
      <w:proofErr w:type="gramEnd"/>
      <w:r w:rsidRPr="00B96AF4">
        <w:rPr>
          <w:rFonts w:ascii="Times New Roman" w:eastAsia="Times New Roman" w:hAnsi="Times New Roman" w:cs="Times New Roman"/>
          <w:sz w:val="24"/>
          <w:szCs w:val="24"/>
        </w:rPr>
        <w:t xml:space="preserve"> to naive T cells by </w:t>
      </w:r>
      <w:proofErr w:type="spellStart"/>
      <w:r w:rsidRPr="00B96AF4">
        <w:rPr>
          <w:rFonts w:ascii="Times New Roman" w:eastAsia="Times New Roman" w:hAnsi="Times New Roman" w:cs="Times New Roman"/>
          <w:sz w:val="24"/>
          <w:szCs w:val="24"/>
        </w:rPr>
        <w:t>dendritic</w:t>
      </w:r>
      <w:proofErr w:type="spellEnd"/>
      <w:r w:rsidRPr="00B96AF4">
        <w:rPr>
          <w:rFonts w:ascii="Times New Roman" w:eastAsia="Times New Roman" w:hAnsi="Times New Roman" w:cs="Times New Roman"/>
          <w:sz w:val="24"/>
          <w:szCs w:val="24"/>
        </w:rPr>
        <w:t xml:space="preserve"> cells, which are localized in the choroid plexus and the </w:t>
      </w:r>
      <w:proofErr w:type="spellStart"/>
      <w:r w:rsidRPr="00B96AF4">
        <w:rPr>
          <w:rFonts w:ascii="Times New Roman" w:eastAsia="Times New Roman" w:hAnsi="Times New Roman" w:cs="Times New Roman"/>
          <w:sz w:val="24"/>
          <w:szCs w:val="24"/>
        </w:rPr>
        <w:t>meninges</w:t>
      </w:r>
      <w:proofErr w:type="spellEnd"/>
      <w:r w:rsidRPr="00B96AF4">
        <w:rPr>
          <w:rFonts w:ascii="Times New Roman" w:eastAsia="Times New Roman" w:hAnsi="Times New Roman" w:cs="Times New Roman"/>
          <w:sz w:val="24"/>
          <w:szCs w:val="24"/>
        </w:rPr>
        <w:t xml:space="preserve">. Evidence exists that inflammatory mediators produced in the CNS can stimulate </w:t>
      </w:r>
      <w:proofErr w:type="spellStart"/>
      <w:r w:rsidRPr="00B96AF4">
        <w:rPr>
          <w:rFonts w:ascii="Times New Roman" w:eastAsia="Times New Roman" w:hAnsi="Times New Roman" w:cs="Times New Roman"/>
          <w:sz w:val="24"/>
          <w:szCs w:val="24"/>
        </w:rPr>
        <w:t>dendritic</w:t>
      </w:r>
      <w:proofErr w:type="spellEnd"/>
      <w:r w:rsidRPr="00B96AF4">
        <w:rPr>
          <w:rFonts w:ascii="Times New Roman" w:eastAsia="Times New Roman" w:hAnsi="Times New Roman" w:cs="Times New Roman"/>
          <w:sz w:val="24"/>
          <w:szCs w:val="24"/>
        </w:rPr>
        <w:t xml:space="preserve"> cells to migrate into the brain parenchyma, where they can </w:t>
      </w:r>
      <w:proofErr w:type="spellStart"/>
      <w:r w:rsidRPr="00B96AF4">
        <w:rPr>
          <w:rFonts w:ascii="Times New Roman" w:eastAsia="Times New Roman" w:hAnsi="Times New Roman" w:cs="Times New Roman"/>
          <w:sz w:val="24"/>
          <w:szCs w:val="24"/>
        </w:rPr>
        <w:t>phagocytize</w:t>
      </w:r>
      <w:proofErr w:type="spellEnd"/>
      <w:r w:rsidRPr="00B96AF4">
        <w:rPr>
          <w:rFonts w:ascii="Times New Roman" w:eastAsia="Times New Roman" w:hAnsi="Times New Roman" w:cs="Times New Roman"/>
          <w:sz w:val="24"/>
          <w:szCs w:val="24"/>
        </w:rPr>
        <w:t xml:space="preserve"> antigens and subsequently migrate to cervical lymph nodes for antigen presentation to </w:t>
      </w:r>
      <w:proofErr w:type="spellStart"/>
      <w:r w:rsidRPr="00B96AF4">
        <w:rPr>
          <w:rFonts w:ascii="Times New Roman" w:eastAsia="Times New Roman" w:hAnsi="Times New Roman" w:cs="Times New Roman"/>
          <w:sz w:val="24"/>
          <w:szCs w:val="24"/>
        </w:rPr>
        <w:t>immunocompetent</w:t>
      </w:r>
      <w:proofErr w:type="spellEnd"/>
      <w:r w:rsidRPr="00B96AF4">
        <w:rPr>
          <w:rFonts w:ascii="Times New Roman" w:eastAsia="Times New Roman" w:hAnsi="Times New Roman" w:cs="Times New Roman"/>
          <w:sz w:val="24"/>
          <w:szCs w:val="24"/>
        </w:rPr>
        <w:t xml:space="preserve"> cells (</w:t>
      </w:r>
      <w:hyperlink r:id="rId21" w:anchor="b20" w:tooltip="Link to bibliographic citation" w:history="1">
        <w:r w:rsidRPr="00B96AF4">
          <w:rPr>
            <w:rFonts w:ascii="Times New Roman" w:eastAsia="Times New Roman" w:hAnsi="Times New Roman" w:cs="Times New Roman"/>
            <w:color w:val="0000FF"/>
            <w:sz w:val="24"/>
            <w:szCs w:val="24"/>
            <w:u w:val="single"/>
          </w:rPr>
          <w:t>20</w:t>
        </w:r>
      </w:hyperlink>
      <w:r w:rsidRPr="00B96AF4">
        <w:rPr>
          <w:rFonts w:ascii="Times New Roman" w:eastAsia="Times New Roman" w:hAnsi="Times New Roman" w:cs="Times New Roman"/>
          <w:sz w:val="24"/>
          <w:szCs w:val="24"/>
        </w:rPr>
        <w:t xml:space="preserve">) (see </w:t>
      </w:r>
      <w:hyperlink r:id="rId22" w:anchor="f1" w:tooltip="Link to figure" w:history="1">
        <w:r w:rsidRPr="00B96AF4">
          <w:rPr>
            <w:rFonts w:ascii="Times New Roman" w:eastAsia="Times New Roman" w:hAnsi="Times New Roman" w:cs="Times New Roman"/>
            <w:color w:val="0000FF"/>
            <w:sz w:val="24"/>
            <w:szCs w:val="24"/>
            <w:u w:val="single"/>
          </w:rPr>
          <w:t>Fig. 1</w:t>
        </w:r>
      </w:hyperlink>
      <w:r w:rsidRPr="00B96AF4">
        <w:rPr>
          <w:rFonts w:ascii="Times New Roman" w:eastAsia="Times New Roman" w:hAnsi="Times New Roman" w:cs="Times New Roman"/>
          <w:sz w:val="24"/>
          <w:szCs w:val="24"/>
        </w:rPr>
        <w:t>).</w:t>
      </w:r>
    </w:p>
    <w:p w:rsidR="00B96AF4" w:rsidRPr="00B96AF4" w:rsidRDefault="00B96AF4" w:rsidP="00B96AF4">
      <w:pPr>
        <w:spacing w:before="100" w:beforeAutospacing="1" w:after="100" w:afterAutospacing="1" w:line="240" w:lineRule="auto"/>
        <w:outlineLvl w:val="2"/>
        <w:rPr>
          <w:rFonts w:ascii="Times New Roman" w:eastAsia="Times New Roman" w:hAnsi="Times New Roman" w:cs="Times New Roman"/>
          <w:b/>
          <w:bCs/>
          <w:sz w:val="27"/>
          <w:szCs w:val="27"/>
        </w:rPr>
      </w:pPr>
      <w:r w:rsidRPr="00B96AF4">
        <w:rPr>
          <w:rFonts w:ascii="Times New Roman" w:eastAsia="Times New Roman" w:hAnsi="Times New Roman" w:cs="Times New Roman"/>
          <w:b/>
          <w:bCs/>
          <w:sz w:val="27"/>
          <w:szCs w:val="27"/>
        </w:rPr>
        <w:t>STRESS AND IMMUNE/INFLAMMATORY RESPONSES</w:t>
      </w:r>
    </w:p>
    <w:p w:rsidR="00B96AF4" w:rsidRPr="00B96AF4" w:rsidRDefault="00B96AF4" w:rsidP="00B96AF4">
      <w:pPr>
        <w:spacing w:before="100" w:beforeAutospacing="1" w:after="100" w:afterAutospacing="1" w:line="240" w:lineRule="auto"/>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rPr>
        <w:t xml:space="preserve">Stress and the immune system appear to </w:t>
      </w:r>
      <w:proofErr w:type="gramStart"/>
      <w:r w:rsidRPr="00B96AF4">
        <w:rPr>
          <w:rFonts w:ascii="Times New Roman" w:eastAsia="Times New Roman" w:hAnsi="Times New Roman" w:cs="Times New Roman"/>
          <w:sz w:val="24"/>
          <w:szCs w:val="24"/>
        </w:rPr>
        <w:t>be strictly interconnected</w:t>
      </w:r>
      <w:proofErr w:type="gramEnd"/>
      <w:r w:rsidRPr="00B96AF4">
        <w:rPr>
          <w:rFonts w:ascii="Times New Roman" w:eastAsia="Times New Roman" w:hAnsi="Times New Roman" w:cs="Times New Roman"/>
          <w:sz w:val="24"/>
          <w:szCs w:val="24"/>
        </w:rPr>
        <w:t>, and activation of the stress axis is demonstrated to occur during seizures (</w:t>
      </w:r>
      <w:hyperlink r:id="rId23" w:anchor="b21" w:tooltip="Link to bibliographic citations" w:history="1">
        <w:r w:rsidRPr="00B96AF4">
          <w:rPr>
            <w:rFonts w:ascii="Times New Roman" w:eastAsia="Times New Roman" w:hAnsi="Times New Roman" w:cs="Times New Roman"/>
            <w:color w:val="0000FF"/>
            <w:sz w:val="24"/>
            <w:szCs w:val="24"/>
            <w:u w:val="single"/>
          </w:rPr>
          <w:t>21–23</w:t>
        </w:r>
      </w:hyperlink>
      <w:r w:rsidRPr="00B96AF4">
        <w:rPr>
          <w:rFonts w:ascii="Times New Roman" w:eastAsia="Times New Roman" w:hAnsi="Times New Roman" w:cs="Times New Roman"/>
          <w:sz w:val="24"/>
          <w:szCs w:val="24"/>
        </w:rPr>
        <w:t xml:space="preserve">). The stress–induced release of hypothalamic </w:t>
      </w:r>
      <w:proofErr w:type="spellStart"/>
      <w:r w:rsidRPr="00B96AF4">
        <w:rPr>
          <w:rFonts w:ascii="Times New Roman" w:eastAsia="Times New Roman" w:hAnsi="Times New Roman" w:cs="Times New Roman"/>
          <w:sz w:val="24"/>
          <w:szCs w:val="24"/>
        </w:rPr>
        <w:t>corticotropin</w:t>
      </w:r>
      <w:proofErr w:type="spellEnd"/>
      <w:r w:rsidRPr="00B96AF4">
        <w:rPr>
          <w:rFonts w:ascii="Times New Roman" w:eastAsia="Times New Roman" w:hAnsi="Times New Roman" w:cs="Times New Roman"/>
          <w:sz w:val="24"/>
          <w:szCs w:val="24"/>
        </w:rPr>
        <w:t xml:space="preserve">-releasing hormone (CRH) leads ultimately to the systemic secretion of </w:t>
      </w:r>
      <w:proofErr w:type="spellStart"/>
      <w:r w:rsidRPr="00B96AF4">
        <w:rPr>
          <w:rFonts w:ascii="Times New Roman" w:eastAsia="Times New Roman" w:hAnsi="Times New Roman" w:cs="Times New Roman"/>
          <w:sz w:val="24"/>
          <w:szCs w:val="24"/>
        </w:rPr>
        <w:t>glucocorticoids</w:t>
      </w:r>
      <w:proofErr w:type="spellEnd"/>
      <w:r w:rsidRPr="00B96AF4">
        <w:rPr>
          <w:rFonts w:ascii="Times New Roman" w:eastAsia="Times New Roman" w:hAnsi="Times New Roman" w:cs="Times New Roman"/>
          <w:sz w:val="24"/>
          <w:szCs w:val="24"/>
        </w:rPr>
        <w:t xml:space="preserve"> (GCs), epinephrine, and </w:t>
      </w:r>
      <w:proofErr w:type="spellStart"/>
      <w:r w:rsidRPr="00B96AF4">
        <w:rPr>
          <w:rFonts w:ascii="Times New Roman" w:eastAsia="Times New Roman" w:hAnsi="Times New Roman" w:cs="Times New Roman"/>
          <w:sz w:val="24"/>
          <w:szCs w:val="24"/>
        </w:rPr>
        <w:t>norepinephrine</w:t>
      </w:r>
      <w:proofErr w:type="spellEnd"/>
      <w:r w:rsidRPr="00B96AF4">
        <w:rPr>
          <w:rFonts w:ascii="Times New Roman" w:eastAsia="Times New Roman" w:hAnsi="Times New Roman" w:cs="Times New Roman"/>
          <w:sz w:val="24"/>
          <w:szCs w:val="24"/>
        </w:rPr>
        <w:t xml:space="preserve">, which in turn strongly influence immune and inflammatory reactions. Conversely, immune molecules, in particular IL-1, IL-6, and tumor necrosis factor (TNF)-α stimulate CRH secretion, thus activating the hypothalamic–pituitary–adrenal (HPA) axis and the sympathetic nervous system during inflammatory responses. CRH modulates immune/inflammatory reactions through receptor-mediated actions of GCs on target immune tissues and by directly acting on its own receptors on immune cells. However, the actions of CRH as a modulator of stress </w:t>
      </w:r>
      <w:proofErr w:type="gramStart"/>
      <w:r w:rsidRPr="00B96AF4">
        <w:rPr>
          <w:rFonts w:ascii="Times New Roman" w:eastAsia="Times New Roman" w:hAnsi="Times New Roman" w:cs="Times New Roman"/>
          <w:sz w:val="24"/>
          <w:szCs w:val="24"/>
        </w:rPr>
        <w:t>are not confined</w:t>
      </w:r>
      <w:proofErr w:type="gramEnd"/>
      <w:r w:rsidRPr="00B96AF4">
        <w:rPr>
          <w:rFonts w:ascii="Times New Roman" w:eastAsia="Times New Roman" w:hAnsi="Times New Roman" w:cs="Times New Roman"/>
          <w:sz w:val="24"/>
          <w:szCs w:val="24"/>
        </w:rPr>
        <w:t xml:space="preserve"> to the HPA system but appear to involve also CRH receptors in the limbic areas, such as the </w:t>
      </w:r>
      <w:proofErr w:type="spellStart"/>
      <w:r w:rsidRPr="00B96AF4">
        <w:rPr>
          <w:rFonts w:ascii="Times New Roman" w:eastAsia="Times New Roman" w:hAnsi="Times New Roman" w:cs="Times New Roman"/>
          <w:sz w:val="24"/>
          <w:szCs w:val="24"/>
        </w:rPr>
        <w:t>amygdala</w:t>
      </w:r>
      <w:proofErr w:type="spellEnd"/>
      <w:r w:rsidRPr="00B96AF4">
        <w:rPr>
          <w:rFonts w:ascii="Times New Roman" w:eastAsia="Times New Roman" w:hAnsi="Times New Roman" w:cs="Times New Roman"/>
          <w:sz w:val="24"/>
          <w:szCs w:val="24"/>
        </w:rPr>
        <w:t xml:space="preserve"> and the hippocampus (</w:t>
      </w:r>
      <w:hyperlink r:id="rId24" w:anchor="b22" w:tooltip="Link to bibliographic citation" w:history="1">
        <w:r w:rsidRPr="00B96AF4">
          <w:rPr>
            <w:rFonts w:ascii="Times New Roman" w:eastAsia="Times New Roman" w:hAnsi="Times New Roman" w:cs="Times New Roman"/>
            <w:color w:val="0000FF"/>
            <w:sz w:val="24"/>
            <w:szCs w:val="24"/>
            <w:u w:val="single"/>
          </w:rPr>
          <w:t>22</w:t>
        </w:r>
      </w:hyperlink>
      <w:r w:rsidRPr="00B96AF4">
        <w:rPr>
          <w:rFonts w:ascii="Times New Roman" w:eastAsia="Times New Roman" w:hAnsi="Times New Roman" w:cs="Times New Roman"/>
          <w:sz w:val="24"/>
          <w:szCs w:val="24"/>
        </w:rPr>
        <w:t>).</w:t>
      </w:r>
    </w:p>
    <w:p w:rsidR="00B96AF4" w:rsidRPr="00B96AF4" w:rsidRDefault="00B96AF4" w:rsidP="00B96AF4">
      <w:pPr>
        <w:spacing w:before="100" w:beforeAutospacing="1" w:after="100" w:afterAutospacing="1" w:line="240" w:lineRule="auto"/>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rPr>
        <w:t xml:space="preserve">GCs have immunosuppressant effects by preventing the migration of leukocytes from the circulation into </w:t>
      </w:r>
      <w:proofErr w:type="spellStart"/>
      <w:r w:rsidRPr="00B96AF4">
        <w:rPr>
          <w:rFonts w:ascii="Times New Roman" w:eastAsia="Times New Roman" w:hAnsi="Times New Roman" w:cs="Times New Roman"/>
          <w:sz w:val="24"/>
          <w:szCs w:val="24"/>
        </w:rPr>
        <w:t>extravascular</w:t>
      </w:r>
      <w:proofErr w:type="spellEnd"/>
      <w:r w:rsidRPr="00B96AF4">
        <w:rPr>
          <w:rFonts w:ascii="Times New Roman" w:eastAsia="Times New Roman" w:hAnsi="Times New Roman" w:cs="Times New Roman"/>
          <w:sz w:val="24"/>
          <w:szCs w:val="24"/>
        </w:rPr>
        <w:t xml:space="preserve"> spaces, reducing the accumulation of </w:t>
      </w:r>
      <w:proofErr w:type="spellStart"/>
      <w:r w:rsidRPr="00B96AF4">
        <w:rPr>
          <w:rFonts w:ascii="Times New Roman" w:eastAsia="Times New Roman" w:hAnsi="Times New Roman" w:cs="Times New Roman"/>
          <w:sz w:val="24"/>
          <w:szCs w:val="24"/>
        </w:rPr>
        <w:t>monocytes</w:t>
      </w:r>
      <w:proofErr w:type="spellEnd"/>
      <w:r w:rsidRPr="00B96AF4">
        <w:rPr>
          <w:rFonts w:ascii="Times New Roman" w:eastAsia="Times New Roman" w:hAnsi="Times New Roman" w:cs="Times New Roman"/>
          <w:sz w:val="24"/>
          <w:szCs w:val="24"/>
        </w:rPr>
        <w:t xml:space="preserve"> and granulocytes at inflammatory sites, and suppressing the production and actions of many cytokines and inflammatory mediators. Although stress has been in general regarded as immunosuppressive, evidence indicates that stress hormones differentially regulate the </w:t>
      </w:r>
      <w:proofErr w:type="spellStart"/>
      <w:r w:rsidRPr="00B96AF4">
        <w:rPr>
          <w:rFonts w:ascii="Times New Roman" w:eastAsia="Times New Roman" w:hAnsi="Times New Roman" w:cs="Times New Roman"/>
          <w:sz w:val="24"/>
          <w:szCs w:val="24"/>
        </w:rPr>
        <w:t>differention</w:t>
      </w:r>
      <w:proofErr w:type="spellEnd"/>
      <w:r w:rsidRPr="00B96AF4">
        <w:rPr>
          <w:rFonts w:ascii="Times New Roman" w:eastAsia="Times New Roman" w:hAnsi="Times New Roman" w:cs="Times New Roman"/>
          <w:sz w:val="24"/>
          <w:szCs w:val="24"/>
        </w:rPr>
        <w:t xml:space="preserve"> of CD4</w:t>
      </w:r>
      <w:r w:rsidRPr="00B96AF4">
        <w:rPr>
          <w:rFonts w:ascii="Times New Roman" w:eastAsia="Times New Roman" w:hAnsi="Times New Roman" w:cs="Times New Roman"/>
          <w:sz w:val="24"/>
          <w:szCs w:val="24"/>
          <w:vertAlign w:val="superscript"/>
        </w:rPr>
        <w:t>+</w:t>
      </w:r>
      <w:r w:rsidRPr="00B96AF4">
        <w:rPr>
          <w:rFonts w:ascii="Times New Roman" w:eastAsia="Times New Roman" w:hAnsi="Times New Roman" w:cs="Times New Roman"/>
          <w:sz w:val="24"/>
          <w:szCs w:val="24"/>
        </w:rPr>
        <w:t xml:space="preserve"> T cells into two distinct phenotypes: T helper (</w:t>
      </w:r>
      <w:proofErr w:type="spellStart"/>
      <w:r w:rsidRPr="00B96AF4">
        <w:rPr>
          <w:rFonts w:ascii="Times New Roman" w:eastAsia="Times New Roman" w:hAnsi="Times New Roman" w:cs="Times New Roman"/>
          <w:sz w:val="24"/>
          <w:szCs w:val="24"/>
        </w:rPr>
        <w:t>Th</w:t>
      </w:r>
      <w:proofErr w:type="spellEnd"/>
      <w:proofErr w:type="gramStart"/>
      <w:r w:rsidRPr="00B96AF4">
        <w:rPr>
          <w:rFonts w:ascii="Times New Roman" w:eastAsia="Times New Roman" w:hAnsi="Times New Roman" w:cs="Times New Roman"/>
          <w:sz w:val="24"/>
          <w:szCs w:val="24"/>
        </w:rPr>
        <w:t>)1</w:t>
      </w:r>
      <w:proofErr w:type="gramEnd"/>
      <w:r w:rsidRPr="00B96AF4">
        <w:rPr>
          <w:rFonts w:ascii="Times New Roman" w:eastAsia="Times New Roman" w:hAnsi="Times New Roman" w:cs="Times New Roman"/>
          <w:sz w:val="24"/>
          <w:szCs w:val="24"/>
        </w:rPr>
        <w:t xml:space="preserve"> and Th2 patterns and their consequent type 1 and type 2 cytokine secretion (</w:t>
      </w:r>
      <w:hyperlink r:id="rId25" w:anchor="b24" w:tooltip="Link to bibliographic citation" w:history="1">
        <w:r w:rsidRPr="00B96AF4">
          <w:rPr>
            <w:rFonts w:ascii="Times New Roman" w:eastAsia="Times New Roman" w:hAnsi="Times New Roman" w:cs="Times New Roman"/>
            <w:color w:val="0000FF"/>
            <w:sz w:val="24"/>
            <w:szCs w:val="24"/>
            <w:u w:val="single"/>
          </w:rPr>
          <w:t>24</w:t>
        </w:r>
      </w:hyperlink>
      <w:r w:rsidRPr="00B96AF4">
        <w:rPr>
          <w:rFonts w:ascii="Times New Roman" w:eastAsia="Times New Roman" w:hAnsi="Times New Roman" w:cs="Times New Roman"/>
          <w:sz w:val="24"/>
          <w:szCs w:val="24"/>
        </w:rPr>
        <w:t>). Th1 cells regulate cellular immunity (CD8</w:t>
      </w:r>
      <w:r w:rsidRPr="00B96AF4">
        <w:rPr>
          <w:rFonts w:ascii="Times New Roman" w:eastAsia="Times New Roman" w:hAnsi="Times New Roman" w:cs="Times New Roman"/>
          <w:sz w:val="24"/>
          <w:szCs w:val="24"/>
          <w:vertAlign w:val="superscript"/>
        </w:rPr>
        <w:t>+</w:t>
      </w:r>
      <w:r w:rsidRPr="00B96AF4">
        <w:rPr>
          <w:rFonts w:ascii="Times New Roman" w:eastAsia="Times New Roman" w:hAnsi="Times New Roman" w:cs="Times New Roman"/>
          <w:sz w:val="24"/>
          <w:szCs w:val="24"/>
        </w:rPr>
        <w:t xml:space="preserve"> T-</w:t>
      </w:r>
      <w:proofErr w:type="spellStart"/>
      <w:r w:rsidRPr="00B96AF4">
        <w:rPr>
          <w:rFonts w:ascii="Times New Roman" w:eastAsia="Times New Roman" w:hAnsi="Times New Roman" w:cs="Times New Roman"/>
          <w:sz w:val="24"/>
          <w:szCs w:val="24"/>
        </w:rPr>
        <w:t>cytotoxic</w:t>
      </w:r>
      <w:proofErr w:type="spellEnd"/>
      <w:r w:rsidRPr="00B96AF4">
        <w:rPr>
          <w:rFonts w:ascii="Times New Roman" w:eastAsia="Times New Roman" w:hAnsi="Times New Roman" w:cs="Times New Roman"/>
          <w:sz w:val="24"/>
          <w:szCs w:val="24"/>
        </w:rPr>
        <w:t xml:space="preserve"> cells, natural killer cells, and activated macrophages) by primarily secreting type 1 cytokines: </w:t>
      </w:r>
      <w:r w:rsidRPr="00B96AF4">
        <w:rPr>
          <w:rFonts w:ascii="Times New Roman" w:eastAsia="Times New Roman" w:hAnsi="Times New Roman" w:cs="Times New Roman"/>
          <w:sz w:val="24"/>
          <w:szCs w:val="24"/>
        </w:rPr>
        <w:lastRenderedPageBreak/>
        <w:t xml:space="preserve">interferon (IFN)-γ, IL-2, and TNF-β, whereas Th2 cells secrete primarily type 2 cytokines, such as IL-4, IL-10, and IL-13, which promote </w:t>
      </w:r>
      <w:proofErr w:type="spellStart"/>
      <w:r w:rsidRPr="00B96AF4">
        <w:rPr>
          <w:rFonts w:ascii="Times New Roman" w:eastAsia="Times New Roman" w:hAnsi="Times New Roman" w:cs="Times New Roman"/>
          <w:sz w:val="24"/>
          <w:szCs w:val="24"/>
        </w:rPr>
        <w:t>humoral</w:t>
      </w:r>
      <w:proofErr w:type="spellEnd"/>
      <w:r w:rsidRPr="00B96AF4">
        <w:rPr>
          <w:rFonts w:ascii="Times New Roman" w:eastAsia="Times New Roman" w:hAnsi="Times New Roman" w:cs="Times New Roman"/>
          <w:sz w:val="24"/>
          <w:szCs w:val="24"/>
        </w:rPr>
        <w:t xml:space="preserve"> immunity (mast cells, </w:t>
      </w:r>
      <w:proofErr w:type="spellStart"/>
      <w:r w:rsidRPr="00B96AF4">
        <w:rPr>
          <w:rFonts w:ascii="Times New Roman" w:eastAsia="Times New Roman" w:hAnsi="Times New Roman" w:cs="Times New Roman"/>
          <w:sz w:val="24"/>
          <w:szCs w:val="24"/>
        </w:rPr>
        <w:t>eosinophils</w:t>
      </w:r>
      <w:proofErr w:type="spellEnd"/>
      <w:r w:rsidRPr="00B96AF4">
        <w:rPr>
          <w:rFonts w:ascii="Times New Roman" w:eastAsia="Times New Roman" w:hAnsi="Times New Roman" w:cs="Times New Roman"/>
          <w:sz w:val="24"/>
          <w:szCs w:val="24"/>
        </w:rPr>
        <w:t>, B cells). Strong evidence suggests that stress hormones amplify the Th2 response while suppressing the Th1 response.</w:t>
      </w:r>
    </w:p>
    <w:p w:rsidR="00B96AF4" w:rsidRPr="00B96AF4" w:rsidRDefault="00B96AF4" w:rsidP="00B96AF4">
      <w:pPr>
        <w:spacing w:before="100" w:beforeAutospacing="1" w:after="100" w:afterAutospacing="1" w:line="240" w:lineRule="auto"/>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rPr>
        <w:t xml:space="preserve">When entering the brain, </w:t>
      </w:r>
      <w:proofErr w:type="spellStart"/>
      <w:r w:rsidRPr="00B96AF4">
        <w:rPr>
          <w:rFonts w:ascii="Times New Roman" w:eastAsia="Times New Roman" w:hAnsi="Times New Roman" w:cs="Times New Roman"/>
          <w:sz w:val="24"/>
          <w:szCs w:val="24"/>
        </w:rPr>
        <w:t>Th</w:t>
      </w:r>
      <w:proofErr w:type="spellEnd"/>
      <w:r w:rsidRPr="00B96AF4">
        <w:rPr>
          <w:rFonts w:ascii="Times New Roman" w:eastAsia="Times New Roman" w:hAnsi="Times New Roman" w:cs="Times New Roman"/>
          <w:sz w:val="24"/>
          <w:szCs w:val="24"/>
        </w:rPr>
        <w:t xml:space="preserve"> cells can interact with microglia, which in turn can efficiently </w:t>
      </w:r>
      <w:proofErr w:type="spellStart"/>
      <w:r w:rsidRPr="00B96AF4">
        <w:rPr>
          <w:rFonts w:ascii="Times New Roman" w:eastAsia="Times New Roman" w:hAnsi="Times New Roman" w:cs="Times New Roman"/>
          <w:sz w:val="24"/>
          <w:szCs w:val="24"/>
        </w:rPr>
        <w:t>restimulate</w:t>
      </w:r>
      <w:proofErr w:type="spellEnd"/>
      <w:r w:rsidRPr="00B96AF4">
        <w:rPr>
          <w:rFonts w:ascii="Times New Roman" w:eastAsia="Times New Roman" w:hAnsi="Times New Roman" w:cs="Times New Roman"/>
          <w:sz w:val="24"/>
          <w:szCs w:val="24"/>
        </w:rPr>
        <w:t xml:space="preserve"> both Th1 and Th2 cells and release inflammatory mediators (</w:t>
      </w:r>
      <w:hyperlink r:id="rId26" w:anchor="f2" w:tooltip="Link to figure" w:history="1">
        <w:r w:rsidRPr="00B96AF4">
          <w:rPr>
            <w:rFonts w:ascii="Times New Roman" w:eastAsia="Times New Roman" w:hAnsi="Times New Roman" w:cs="Times New Roman"/>
            <w:color w:val="0000FF"/>
            <w:sz w:val="24"/>
            <w:szCs w:val="24"/>
            <w:u w:val="single"/>
          </w:rPr>
          <w:t>Fig. 2</w:t>
        </w:r>
      </w:hyperlink>
      <w:r w:rsidRPr="00B96AF4">
        <w:rPr>
          <w:rFonts w:ascii="Times New Roman" w:eastAsia="Times New Roman" w:hAnsi="Times New Roman" w:cs="Times New Roman"/>
          <w:sz w:val="24"/>
          <w:szCs w:val="24"/>
        </w:rPr>
        <w:t xml:space="preserve">). </w:t>
      </w:r>
      <w:proofErr w:type="spellStart"/>
      <w:r w:rsidRPr="00B96AF4">
        <w:rPr>
          <w:rFonts w:ascii="Times New Roman" w:eastAsia="Times New Roman" w:hAnsi="Times New Roman" w:cs="Times New Roman"/>
          <w:sz w:val="24"/>
          <w:szCs w:val="24"/>
        </w:rPr>
        <w:t>Astrocytes</w:t>
      </w:r>
      <w:proofErr w:type="spellEnd"/>
      <w:r w:rsidRPr="00B96AF4">
        <w:rPr>
          <w:rFonts w:ascii="Times New Roman" w:eastAsia="Times New Roman" w:hAnsi="Times New Roman" w:cs="Times New Roman"/>
          <w:sz w:val="24"/>
          <w:szCs w:val="24"/>
        </w:rPr>
        <w:t xml:space="preserve"> appear to have a limited APC capacity restricted to recognition by Th2 cells (</w:t>
      </w:r>
      <w:hyperlink r:id="rId27" w:anchor="b17" w:tooltip="Link to bibliographic citation" w:history="1">
        <w:r w:rsidRPr="00B96AF4">
          <w:rPr>
            <w:rFonts w:ascii="Times New Roman" w:eastAsia="Times New Roman" w:hAnsi="Times New Roman" w:cs="Times New Roman"/>
            <w:color w:val="0000FF"/>
            <w:sz w:val="24"/>
            <w:szCs w:val="24"/>
            <w:u w:val="single"/>
          </w:rPr>
          <w:t>17</w:t>
        </w:r>
      </w:hyperlink>
      <w:r w:rsidRPr="00B96AF4">
        <w:rPr>
          <w:rFonts w:ascii="Times New Roman" w:eastAsia="Times New Roman" w:hAnsi="Times New Roman" w:cs="Times New Roman"/>
          <w:sz w:val="24"/>
          <w:szCs w:val="24"/>
        </w:rPr>
        <w:t>).</w:t>
      </w:r>
    </w:p>
    <w:p w:rsidR="00B96AF4" w:rsidRPr="00B96AF4" w:rsidRDefault="00B96AF4" w:rsidP="00B96AF4">
      <w:pPr>
        <w:spacing w:before="100" w:beforeAutospacing="1" w:after="100" w:afterAutospacing="1" w:line="240" w:lineRule="auto"/>
        <w:rPr>
          <w:rFonts w:ascii="Times New Roman" w:eastAsia="Times New Roman" w:hAnsi="Times New Roman" w:cs="Times New Roman"/>
          <w:sz w:val="24"/>
          <w:szCs w:val="24"/>
        </w:rPr>
      </w:pPr>
      <w:proofErr w:type="gramStart"/>
      <w:r w:rsidRPr="00B96AF4">
        <w:rPr>
          <w:rFonts w:ascii="Times New Roman" w:eastAsia="Times New Roman" w:hAnsi="Times New Roman" w:cs="Times New Roman"/>
          <w:sz w:val="24"/>
          <w:szCs w:val="24"/>
        </w:rPr>
        <w:t>Figure 2.</w:t>
      </w:r>
      <w:proofErr w:type="gramEnd"/>
      <w:r w:rsidRPr="00B96AF4">
        <w:rPr>
          <w:rFonts w:ascii="Times New Roman" w:eastAsia="Times New Roman" w:hAnsi="Times New Roman" w:cs="Times New Roman"/>
          <w:sz w:val="24"/>
          <w:szCs w:val="24"/>
        </w:rPr>
        <w:t xml:space="preserve"> </w:t>
      </w:r>
      <w:proofErr w:type="spellStart"/>
      <w:r w:rsidRPr="00B96AF4">
        <w:rPr>
          <w:rFonts w:ascii="Times New Roman" w:eastAsia="Times New Roman" w:hAnsi="Times New Roman" w:cs="Times New Roman"/>
          <w:sz w:val="24"/>
          <w:szCs w:val="24"/>
        </w:rPr>
        <w:t>Intracerebral</w:t>
      </w:r>
      <w:proofErr w:type="spellEnd"/>
      <w:r w:rsidRPr="00B96AF4">
        <w:rPr>
          <w:rFonts w:ascii="Times New Roman" w:eastAsia="Times New Roman" w:hAnsi="Times New Roman" w:cs="Times New Roman"/>
          <w:sz w:val="24"/>
          <w:szCs w:val="24"/>
        </w:rPr>
        <w:t xml:space="preserve"> T-cell responses, mediated by </w:t>
      </w:r>
      <w:proofErr w:type="spellStart"/>
      <w:r w:rsidRPr="00B96AF4">
        <w:rPr>
          <w:rFonts w:ascii="Times New Roman" w:eastAsia="Times New Roman" w:hAnsi="Times New Roman" w:cs="Times New Roman"/>
          <w:sz w:val="24"/>
          <w:szCs w:val="24"/>
        </w:rPr>
        <w:t>intrapenchymal</w:t>
      </w:r>
      <w:proofErr w:type="spellEnd"/>
      <w:r w:rsidRPr="00B96AF4">
        <w:rPr>
          <w:rFonts w:ascii="Times New Roman" w:eastAsia="Times New Roman" w:hAnsi="Times New Roman" w:cs="Times New Roman"/>
          <w:sz w:val="24"/>
          <w:szCs w:val="24"/>
        </w:rPr>
        <w:t xml:space="preserve"> antigen-presenting cells (APCs), APCs decide the differentiation of T-helper cells (</w:t>
      </w:r>
      <w:proofErr w:type="spellStart"/>
      <w:r w:rsidRPr="00B96AF4">
        <w:rPr>
          <w:rFonts w:ascii="Times New Roman" w:eastAsia="Times New Roman" w:hAnsi="Times New Roman" w:cs="Times New Roman"/>
          <w:sz w:val="24"/>
          <w:szCs w:val="24"/>
        </w:rPr>
        <w:t>Th</w:t>
      </w:r>
      <w:proofErr w:type="spellEnd"/>
      <w:r w:rsidRPr="00B96AF4">
        <w:rPr>
          <w:rFonts w:ascii="Times New Roman" w:eastAsia="Times New Roman" w:hAnsi="Times New Roman" w:cs="Times New Roman"/>
          <w:sz w:val="24"/>
          <w:szCs w:val="24"/>
        </w:rPr>
        <w:t xml:space="preserve">) into Th1 and Th2 cells, which secrete type 1 and type 2 cytokines, </w:t>
      </w:r>
      <w:proofErr w:type="spellStart"/>
      <w:r w:rsidRPr="00B96AF4">
        <w:rPr>
          <w:rFonts w:ascii="Times New Roman" w:eastAsia="Times New Roman" w:hAnsi="Times New Roman" w:cs="Times New Roman"/>
          <w:sz w:val="24"/>
          <w:szCs w:val="24"/>
        </w:rPr>
        <w:t>rspectively</w:t>
      </w:r>
      <w:proofErr w:type="spellEnd"/>
      <w:r w:rsidRPr="00B96AF4">
        <w:rPr>
          <w:rFonts w:ascii="Times New Roman" w:eastAsia="Times New Roman" w:hAnsi="Times New Roman" w:cs="Times New Roman"/>
          <w:sz w:val="24"/>
          <w:szCs w:val="24"/>
        </w:rPr>
        <w:t xml:space="preserve">. These cells are pivotal in the regulation of cellular and </w:t>
      </w:r>
      <w:proofErr w:type="spellStart"/>
      <w:r w:rsidRPr="00B96AF4">
        <w:rPr>
          <w:rFonts w:ascii="Times New Roman" w:eastAsia="Times New Roman" w:hAnsi="Times New Roman" w:cs="Times New Roman"/>
          <w:sz w:val="24"/>
          <w:szCs w:val="24"/>
        </w:rPr>
        <w:t>humoral</w:t>
      </w:r>
      <w:proofErr w:type="spellEnd"/>
      <w:r w:rsidRPr="00B96AF4">
        <w:rPr>
          <w:rFonts w:ascii="Times New Roman" w:eastAsia="Times New Roman" w:hAnsi="Times New Roman" w:cs="Times New Roman"/>
          <w:sz w:val="24"/>
          <w:szCs w:val="24"/>
        </w:rPr>
        <w:t xml:space="preserve"> immunity, respectively. T cells primed in peripheral lymphoid tissues, or in the </w:t>
      </w:r>
      <w:proofErr w:type="spellStart"/>
      <w:r w:rsidRPr="00B96AF4">
        <w:rPr>
          <w:rFonts w:ascii="Times New Roman" w:eastAsia="Times New Roman" w:hAnsi="Times New Roman" w:cs="Times New Roman"/>
          <w:sz w:val="24"/>
          <w:szCs w:val="24"/>
        </w:rPr>
        <w:t>perivascular</w:t>
      </w:r>
      <w:proofErr w:type="spellEnd"/>
      <w:r w:rsidRPr="00B96AF4">
        <w:rPr>
          <w:rFonts w:ascii="Times New Roman" w:eastAsia="Times New Roman" w:hAnsi="Times New Roman" w:cs="Times New Roman"/>
          <w:sz w:val="24"/>
          <w:szCs w:val="24"/>
        </w:rPr>
        <w:t xml:space="preserve"> space and CSF by circulating APC</w:t>
      </w:r>
      <w:r w:rsidRPr="00B96AF4">
        <w:rPr>
          <w:rFonts w:ascii="Times New Roman" w:eastAsia="Times New Roman" w:hAnsi="Times New Roman" w:cs="Times New Roman"/>
          <w:i/>
          <w:iCs/>
          <w:sz w:val="24"/>
          <w:szCs w:val="24"/>
        </w:rPr>
        <w:t>s</w:t>
      </w:r>
      <w:r w:rsidRPr="00B96AF4">
        <w:rPr>
          <w:rFonts w:ascii="Times New Roman" w:eastAsia="Times New Roman" w:hAnsi="Times New Roman" w:cs="Times New Roman"/>
          <w:sz w:val="24"/>
          <w:szCs w:val="24"/>
        </w:rPr>
        <w:t xml:space="preserve"> (see also </w:t>
      </w:r>
      <w:hyperlink r:id="rId28" w:anchor="f1" w:tooltip="Link to figure" w:history="1">
        <w:r w:rsidRPr="00B96AF4">
          <w:rPr>
            <w:rFonts w:ascii="Times New Roman" w:eastAsia="Times New Roman" w:hAnsi="Times New Roman" w:cs="Times New Roman"/>
            <w:color w:val="0000FF"/>
            <w:sz w:val="24"/>
            <w:szCs w:val="24"/>
            <w:u w:val="single"/>
          </w:rPr>
          <w:t>Fig. 1</w:t>
        </w:r>
      </w:hyperlink>
      <w:r w:rsidRPr="00B96AF4">
        <w:rPr>
          <w:rFonts w:ascii="Times New Roman" w:eastAsia="Times New Roman" w:hAnsi="Times New Roman" w:cs="Times New Roman"/>
          <w:sz w:val="24"/>
          <w:szCs w:val="24"/>
        </w:rPr>
        <w:t xml:space="preserve">), when entering the CNS parenchyma can interact with microglia and </w:t>
      </w:r>
      <w:proofErr w:type="spellStart"/>
      <w:r w:rsidRPr="00B96AF4">
        <w:rPr>
          <w:rFonts w:ascii="Times New Roman" w:eastAsia="Times New Roman" w:hAnsi="Times New Roman" w:cs="Times New Roman"/>
          <w:sz w:val="24"/>
          <w:szCs w:val="24"/>
        </w:rPr>
        <w:t>astrocytes</w:t>
      </w:r>
      <w:proofErr w:type="spellEnd"/>
      <w:r w:rsidRPr="00B96AF4">
        <w:rPr>
          <w:rFonts w:ascii="Times New Roman" w:eastAsia="Times New Roman" w:hAnsi="Times New Roman" w:cs="Times New Roman"/>
          <w:sz w:val="24"/>
          <w:szCs w:val="24"/>
        </w:rPr>
        <w:t xml:space="preserve">. </w:t>
      </w:r>
      <w:proofErr w:type="gramStart"/>
      <w:r w:rsidRPr="00B96AF4">
        <w:rPr>
          <w:rFonts w:ascii="Times New Roman" w:eastAsia="Times New Roman" w:hAnsi="Times New Roman" w:cs="Times New Roman"/>
          <w:sz w:val="24"/>
          <w:szCs w:val="24"/>
        </w:rPr>
        <w:t xml:space="preserve">Microglia can efficiently express major </w:t>
      </w:r>
      <w:proofErr w:type="spellStart"/>
      <w:r w:rsidRPr="00B96AF4">
        <w:rPr>
          <w:rFonts w:ascii="Times New Roman" w:eastAsia="Times New Roman" w:hAnsi="Times New Roman" w:cs="Times New Roman"/>
          <w:sz w:val="24"/>
          <w:szCs w:val="24"/>
        </w:rPr>
        <w:t>histocompatibility</w:t>
      </w:r>
      <w:proofErr w:type="spellEnd"/>
      <w:r w:rsidRPr="00B96AF4">
        <w:rPr>
          <w:rFonts w:ascii="Times New Roman" w:eastAsia="Times New Roman" w:hAnsi="Times New Roman" w:cs="Times New Roman"/>
          <w:sz w:val="24"/>
          <w:szCs w:val="24"/>
        </w:rPr>
        <w:t xml:space="preserve"> complex (MHC) class II and adhesion/</w:t>
      </w:r>
      <w:proofErr w:type="spellStart"/>
      <w:r w:rsidRPr="00B96AF4">
        <w:rPr>
          <w:rFonts w:ascii="Times New Roman" w:eastAsia="Times New Roman" w:hAnsi="Times New Roman" w:cs="Times New Roman"/>
          <w:sz w:val="24"/>
          <w:szCs w:val="24"/>
        </w:rPr>
        <w:t>costimulatory</w:t>
      </w:r>
      <w:proofErr w:type="spellEnd"/>
      <w:r w:rsidRPr="00B96AF4">
        <w:rPr>
          <w:rFonts w:ascii="Times New Roman" w:eastAsia="Times New Roman" w:hAnsi="Times New Roman" w:cs="Times New Roman"/>
          <w:sz w:val="24"/>
          <w:szCs w:val="24"/>
        </w:rPr>
        <w:t xml:space="preserve"> molecules [e.g., intercellular adhesion molecule (ICAM)-1, B7] when activated by inflammatory stimuli and can </w:t>
      </w:r>
      <w:proofErr w:type="spellStart"/>
      <w:r w:rsidRPr="00B96AF4">
        <w:rPr>
          <w:rFonts w:ascii="Times New Roman" w:eastAsia="Times New Roman" w:hAnsi="Times New Roman" w:cs="Times New Roman"/>
          <w:sz w:val="24"/>
          <w:szCs w:val="24"/>
        </w:rPr>
        <w:t>restimulate</w:t>
      </w:r>
      <w:proofErr w:type="spellEnd"/>
      <w:r w:rsidRPr="00B96AF4">
        <w:rPr>
          <w:rFonts w:ascii="Times New Roman" w:eastAsia="Times New Roman" w:hAnsi="Times New Roman" w:cs="Times New Roman"/>
          <w:sz w:val="24"/>
          <w:szCs w:val="24"/>
        </w:rPr>
        <w:t xml:space="preserve"> both Th1 and Th2 cells and release mediators [including </w:t>
      </w:r>
      <w:proofErr w:type="spellStart"/>
      <w:r w:rsidRPr="00B96AF4">
        <w:rPr>
          <w:rFonts w:ascii="Times New Roman" w:eastAsia="Times New Roman" w:hAnsi="Times New Roman" w:cs="Times New Roman"/>
          <w:sz w:val="24"/>
          <w:szCs w:val="24"/>
        </w:rPr>
        <w:t>chemokines</w:t>
      </w:r>
      <w:proofErr w:type="spellEnd"/>
      <w:r w:rsidRPr="00B96AF4">
        <w:rPr>
          <w:rFonts w:ascii="Times New Roman" w:eastAsia="Times New Roman" w:hAnsi="Times New Roman" w:cs="Times New Roman"/>
          <w:sz w:val="24"/>
          <w:szCs w:val="24"/>
        </w:rPr>
        <w:t>, interleukins, tumor growth factor β (TGF-β) and prostaglandin E</w:t>
      </w:r>
      <w:r w:rsidRPr="00B96AF4">
        <w:rPr>
          <w:rFonts w:ascii="Times New Roman" w:eastAsia="Times New Roman" w:hAnsi="Times New Roman" w:cs="Times New Roman"/>
          <w:sz w:val="24"/>
          <w:szCs w:val="24"/>
          <w:vertAlign w:val="subscript"/>
        </w:rPr>
        <w:t>2</w:t>
      </w:r>
      <w:r w:rsidRPr="00B96AF4">
        <w:rPr>
          <w:rFonts w:ascii="Times New Roman" w:eastAsia="Times New Roman" w:hAnsi="Times New Roman" w:cs="Times New Roman"/>
          <w:sz w:val="24"/>
          <w:szCs w:val="24"/>
        </w:rPr>
        <w:t xml:space="preserve"> (PGE</w:t>
      </w:r>
      <w:r w:rsidRPr="00B96AF4">
        <w:rPr>
          <w:rFonts w:ascii="Times New Roman" w:eastAsia="Times New Roman" w:hAnsi="Times New Roman" w:cs="Times New Roman"/>
          <w:sz w:val="24"/>
          <w:szCs w:val="24"/>
          <w:vertAlign w:val="subscript"/>
        </w:rPr>
        <w:t>2</w:t>
      </w:r>
      <w:r w:rsidRPr="00B96AF4">
        <w:rPr>
          <w:rFonts w:ascii="Times New Roman" w:eastAsia="Times New Roman" w:hAnsi="Times New Roman" w:cs="Times New Roman"/>
          <w:sz w:val="24"/>
          <w:szCs w:val="24"/>
        </w:rPr>
        <w:t xml:space="preserve">)] that regulate the phenotype, recruitment, activation, and eventually apoptosis of </w:t>
      </w:r>
      <w:proofErr w:type="spellStart"/>
      <w:r w:rsidRPr="00B96AF4">
        <w:rPr>
          <w:rFonts w:ascii="Times New Roman" w:eastAsia="Times New Roman" w:hAnsi="Times New Roman" w:cs="Times New Roman"/>
          <w:sz w:val="24"/>
          <w:szCs w:val="24"/>
        </w:rPr>
        <w:t>Th</w:t>
      </w:r>
      <w:proofErr w:type="spellEnd"/>
      <w:r w:rsidRPr="00B96AF4">
        <w:rPr>
          <w:rFonts w:ascii="Times New Roman" w:eastAsia="Times New Roman" w:hAnsi="Times New Roman" w:cs="Times New Roman"/>
          <w:sz w:val="24"/>
          <w:szCs w:val="24"/>
        </w:rPr>
        <w:t xml:space="preserve"> cells.</w:t>
      </w:r>
      <w:proofErr w:type="gramEnd"/>
      <w:r w:rsidRPr="00B96AF4">
        <w:rPr>
          <w:rFonts w:ascii="Times New Roman" w:eastAsia="Times New Roman" w:hAnsi="Times New Roman" w:cs="Times New Roman"/>
          <w:sz w:val="24"/>
          <w:szCs w:val="24"/>
        </w:rPr>
        <w:t xml:space="preserve"> </w:t>
      </w:r>
      <w:proofErr w:type="spellStart"/>
      <w:r w:rsidRPr="00B96AF4">
        <w:rPr>
          <w:rFonts w:ascii="Times New Roman" w:eastAsia="Times New Roman" w:hAnsi="Times New Roman" w:cs="Times New Roman"/>
          <w:sz w:val="24"/>
          <w:szCs w:val="24"/>
        </w:rPr>
        <w:t>Astrocytes</w:t>
      </w:r>
      <w:proofErr w:type="spellEnd"/>
      <w:r w:rsidRPr="00B96AF4">
        <w:rPr>
          <w:rFonts w:ascii="Times New Roman" w:eastAsia="Times New Roman" w:hAnsi="Times New Roman" w:cs="Times New Roman"/>
          <w:sz w:val="24"/>
          <w:szCs w:val="24"/>
        </w:rPr>
        <w:t xml:space="preserve"> appear to have a poor ability to express MCH class II and adhesion/</w:t>
      </w:r>
      <w:proofErr w:type="spellStart"/>
      <w:r w:rsidRPr="00B96AF4">
        <w:rPr>
          <w:rFonts w:ascii="Times New Roman" w:eastAsia="Times New Roman" w:hAnsi="Times New Roman" w:cs="Times New Roman"/>
          <w:sz w:val="24"/>
          <w:szCs w:val="24"/>
        </w:rPr>
        <w:t>costimulatory</w:t>
      </w:r>
      <w:proofErr w:type="spellEnd"/>
      <w:r w:rsidRPr="00B96AF4">
        <w:rPr>
          <w:rFonts w:ascii="Times New Roman" w:eastAsia="Times New Roman" w:hAnsi="Times New Roman" w:cs="Times New Roman"/>
          <w:sz w:val="24"/>
          <w:szCs w:val="24"/>
        </w:rPr>
        <w:t xml:space="preserve"> molecules, and their APC capacity may be limited to Th2-cell </w:t>
      </w:r>
      <w:proofErr w:type="spellStart"/>
      <w:r w:rsidRPr="00B96AF4">
        <w:rPr>
          <w:rFonts w:ascii="Times New Roman" w:eastAsia="Times New Roman" w:hAnsi="Times New Roman" w:cs="Times New Roman"/>
          <w:sz w:val="24"/>
          <w:szCs w:val="24"/>
        </w:rPr>
        <w:t>restimulation</w:t>
      </w:r>
      <w:proofErr w:type="spellEnd"/>
      <w:r w:rsidRPr="00B96AF4">
        <w:rPr>
          <w:rFonts w:ascii="Times New Roman" w:eastAsia="Times New Roman" w:hAnsi="Times New Roman" w:cs="Times New Roman"/>
          <w:sz w:val="24"/>
          <w:szCs w:val="24"/>
        </w:rPr>
        <w:t xml:space="preserve"> and inhibition of the Th1 response. </w:t>
      </w:r>
      <w:proofErr w:type="gramStart"/>
      <w:r w:rsidRPr="00B96AF4">
        <w:rPr>
          <w:rFonts w:ascii="Times New Roman" w:eastAsia="Times New Roman" w:hAnsi="Times New Roman" w:cs="Times New Roman"/>
          <w:sz w:val="24"/>
          <w:szCs w:val="24"/>
        </w:rPr>
        <w:t xml:space="preserve">CD28, </w:t>
      </w:r>
      <w:proofErr w:type="spellStart"/>
      <w:r w:rsidRPr="00B96AF4">
        <w:rPr>
          <w:rFonts w:ascii="Times New Roman" w:eastAsia="Times New Roman" w:hAnsi="Times New Roman" w:cs="Times New Roman"/>
          <w:sz w:val="24"/>
          <w:szCs w:val="24"/>
        </w:rPr>
        <w:t>costimulatory</w:t>
      </w:r>
      <w:proofErr w:type="spellEnd"/>
      <w:r w:rsidRPr="00B96AF4">
        <w:rPr>
          <w:rFonts w:ascii="Times New Roman" w:eastAsia="Times New Roman" w:hAnsi="Times New Roman" w:cs="Times New Roman"/>
          <w:sz w:val="24"/>
          <w:szCs w:val="24"/>
        </w:rPr>
        <w:t xml:space="preserve"> signal; TCR, T-cell receptor.</w:t>
      </w:r>
      <w:proofErr w:type="gramEnd"/>
      <w:r w:rsidRPr="00B96AF4">
        <w:rPr>
          <w:rFonts w:ascii="Times New Roman" w:eastAsia="Times New Roman" w:hAnsi="Times New Roman" w:cs="Times New Roman"/>
          <w:sz w:val="24"/>
          <w:szCs w:val="24"/>
        </w:rPr>
        <w:t xml:space="preserve"> (Adapted from </w:t>
      </w:r>
      <w:proofErr w:type="spellStart"/>
      <w:r w:rsidRPr="00B96AF4">
        <w:rPr>
          <w:rFonts w:ascii="Times New Roman" w:eastAsia="Times New Roman" w:hAnsi="Times New Roman" w:cs="Times New Roman"/>
          <w:sz w:val="24"/>
          <w:szCs w:val="24"/>
        </w:rPr>
        <w:t>Aloisi</w:t>
      </w:r>
      <w:proofErr w:type="spellEnd"/>
      <w:r w:rsidRPr="00B96AF4">
        <w:rPr>
          <w:rFonts w:ascii="Times New Roman" w:eastAsia="Times New Roman" w:hAnsi="Times New Roman" w:cs="Times New Roman"/>
          <w:sz w:val="24"/>
          <w:szCs w:val="24"/>
        </w:rPr>
        <w:t xml:space="preserve"> F, </w:t>
      </w:r>
      <w:proofErr w:type="spellStart"/>
      <w:r w:rsidRPr="00B96AF4">
        <w:rPr>
          <w:rFonts w:ascii="Times New Roman" w:eastAsia="Times New Roman" w:hAnsi="Times New Roman" w:cs="Times New Roman"/>
          <w:sz w:val="24"/>
          <w:szCs w:val="24"/>
        </w:rPr>
        <w:t>Ria</w:t>
      </w:r>
      <w:proofErr w:type="spellEnd"/>
      <w:r w:rsidRPr="00B96AF4">
        <w:rPr>
          <w:rFonts w:ascii="Times New Roman" w:eastAsia="Times New Roman" w:hAnsi="Times New Roman" w:cs="Times New Roman"/>
          <w:sz w:val="24"/>
          <w:szCs w:val="24"/>
        </w:rPr>
        <w:t xml:space="preserve"> F, </w:t>
      </w:r>
      <w:proofErr w:type="spellStart"/>
      <w:proofErr w:type="gramStart"/>
      <w:r w:rsidRPr="00B96AF4">
        <w:rPr>
          <w:rFonts w:ascii="Times New Roman" w:eastAsia="Times New Roman" w:hAnsi="Times New Roman" w:cs="Times New Roman"/>
          <w:sz w:val="24"/>
          <w:szCs w:val="24"/>
        </w:rPr>
        <w:t>Adorini</w:t>
      </w:r>
      <w:proofErr w:type="spellEnd"/>
      <w:proofErr w:type="gramEnd"/>
      <w:r w:rsidRPr="00B96AF4">
        <w:rPr>
          <w:rFonts w:ascii="Times New Roman" w:eastAsia="Times New Roman" w:hAnsi="Times New Roman" w:cs="Times New Roman"/>
          <w:sz w:val="24"/>
          <w:szCs w:val="24"/>
        </w:rPr>
        <w:t xml:space="preserve"> L. Regulation of T-cell responses by CNS antigen-presenting cells: different roles for microglia and </w:t>
      </w:r>
      <w:proofErr w:type="spellStart"/>
      <w:r w:rsidRPr="00B96AF4">
        <w:rPr>
          <w:rFonts w:ascii="Times New Roman" w:eastAsia="Times New Roman" w:hAnsi="Times New Roman" w:cs="Times New Roman"/>
          <w:sz w:val="24"/>
          <w:szCs w:val="24"/>
        </w:rPr>
        <w:t>astrocytes</w:t>
      </w:r>
      <w:proofErr w:type="spellEnd"/>
      <w:r w:rsidRPr="00B96AF4">
        <w:rPr>
          <w:rFonts w:ascii="Times New Roman" w:eastAsia="Times New Roman" w:hAnsi="Times New Roman" w:cs="Times New Roman"/>
          <w:sz w:val="24"/>
          <w:szCs w:val="24"/>
        </w:rPr>
        <w:t xml:space="preserve">. </w:t>
      </w:r>
      <w:proofErr w:type="spellStart"/>
      <w:r w:rsidRPr="00B96AF4">
        <w:rPr>
          <w:rFonts w:ascii="Times New Roman" w:eastAsia="Times New Roman" w:hAnsi="Times New Roman" w:cs="Times New Roman"/>
          <w:i/>
          <w:iCs/>
          <w:sz w:val="24"/>
          <w:szCs w:val="24"/>
        </w:rPr>
        <w:t>Immunol</w:t>
      </w:r>
      <w:proofErr w:type="spellEnd"/>
      <w:r w:rsidRPr="00B96AF4">
        <w:rPr>
          <w:rFonts w:ascii="Times New Roman" w:eastAsia="Times New Roman" w:hAnsi="Times New Roman" w:cs="Times New Roman"/>
          <w:i/>
          <w:iCs/>
          <w:sz w:val="24"/>
          <w:szCs w:val="24"/>
        </w:rPr>
        <w:t xml:space="preserve"> Today</w:t>
      </w:r>
      <w:r w:rsidRPr="00B96AF4">
        <w:rPr>
          <w:rFonts w:ascii="Times New Roman" w:eastAsia="Times New Roman" w:hAnsi="Times New Roman" w:cs="Times New Roman"/>
          <w:sz w:val="24"/>
          <w:szCs w:val="24"/>
        </w:rPr>
        <w:t xml:space="preserve"> 2000</w:t>
      </w:r>
      <w:proofErr w:type="gramStart"/>
      <w:r w:rsidRPr="00B96AF4">
        <w:rPr>
          <w:rFonts w:ascii="Times New Roman" w:eastAsia="Times New Roman" w:hAnsi="Times New Roman" w:cs="Times New Roman"/>
          <w:sz w:val="24"/>
          <w:szCs w:val="24"/>
        </w:rPr>
        <w:t>;21:141</w:t>
      </w:r>
      <w:proofErr w:type="gramEnd"/>
      <w:r w:rsidRPr="00B96AF4">
        <w:rPr>
          <w:rFonts w:ascii="Times New Roman" w:eastAsia="Times New Roman" w:hAnsi="Times New Roman" w:cs="Times New Roman"/>
          <w:sz w:val="24"/>
          <w:szCs w:val="24"/>
        </w:rPr>
        <w:t>–7, with permission.)</w:t>
      </w:r>
    </w:p>
    <w:p w:rsidR="00B96AF4" w:rsidRPr="00B96AF4" w:rsidRDefault="00B96AF4" w:rsidP="00B9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1200150"/>
            <wp:effectExtent l="19050" t="0" r="0" b="0"/>
            <wp:docPr id="2" name="f2_img" descr="image">
              <a:hlinkClick xmlns:a="http://schemas.openxmlformats.org/drawingml/2006/main" r:id="rId29" tooltip="&quot;Link to full-size 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_img" descr="image">
                      <a:hlinkClick r:id="rId29" tooltip="&quot;Link to full-size figure&quot;"/>
                    </pic:cNvPr>
                    <pic:cNvPicPr>
                      <a:picLocks noChangeAspect="1" noChangeArrowheads="1"/>
                    </pic:cNvPicPr>
                  </pic:nvPicPr>
                  <pic:blipFill>
                    <a:blip r:embed="rId14" cstate="print"/>
                    <a:srcRect/>
                    <a:stretch>
                      <a:fillRect/>
                    </a:stretch>
                  </pic:blipFill>
                  <pic:spPr bwMode="auto">
                    <a:xfrm>
                      <a:off x="0" y="0"/>
                      <a:ext cx="1428750" cy="1200150"/>
                    </a:xfrm>
                    <a:prstGeom prst="rect">
                      <a:avLst/>
                    </a:prstGeom>
                    <a:noFill/>
                    <a:ln w="9525">
                      <a:noFill/>
                      <a:miter lim="800000"/>
                      <a:headEnd/>
                      <a:tailEnd/>
                    </a:ln>
                  </pic:spPr>
                </pic:pic>
              </a:graphicData>
            </a:graphic>
          </wp:inline>
        </w:drawing>
      </w:r>
    </w:p>
    <w:p w:rsidR="00B96AF4" w:rsidRPr="00B96AF4" w:rsidRDefault="00B96AF4" w:rsidP="00B96AF4">
      <w:pPr>
        <w:spacing w:before="100" w:beforeAutospacing="1" w:after="100" w:afterAutospacing="1" w:line="240" w:lineRule="auto"/>
        <w:rPr>
          <w:rFonts w:ascii="Times New Roman" w:eastAsia="Times New Roman" w:hAnsi="Times New Roman" w:cs="Times New Roman"/>
          <w:sz w:val="24"/>
          <w:szCs w:val="24"/>
        </w:rPr>
      </w:pPr>
      <w:r w:rsidRPr="00B96AF4">
        <w:rPr>
          <w:rFonts w:ascii="Times New Roman" w:eastAsia="Times New Roman" w:hAnsi="Times New Roman" w:cs="Times New Roman"/>
          <w:sz w:val="24"/>
          <w:szCs w:val="24"/>
        </w:rPr>
        <w:t xml:space="preserve">In summary, an excessive immune/inflammatory response by activation of the stress system may inhibit cellular immunity while favoring </w:t>
      </w:r>
      <w:proofErr w:type="spellStart"/>
      <w:r w:rsidRPr="00B96AF4">
        <w:rPr>
          <w:rFonts w:ascii="Times New Roman" w:eastAsia="Times New Roman" w:hAnsi="Times New Roman" w:cs="Times New Roman"/>
          <w:sz w:val="24"/>
          <w:szCs w:val="24"/>
        </w:rPr>
        <w:t>humoral</w:t>
      </w:r>
      <w:proofErr w:type="spellEnd"/>
      <w:r w:rsidRPr="00B96AF4">
        <w:rPr>
          <w:rFonts w:ascii="Times New Roman" w:eastAsia="Times New Roman" w:hAnsi="Times New Roman" w:cs="Times New Roman"/>
          <w:sz w:val="24"/>
          <w:szCs w:val="24"/>
        </w:rPr>
        <w:t xml:space="preserve"> immunity. This mechanism may serve to protect the organism from excessive production of </w:t>
      </w:r>
      <w:proofErr w:type="spellStart"/>
      <w:r w:rsidRPr="00B96AF4">
        <w:rPr>
          <w:rFonts w:ascii="Times New Roman" w:eastAsia="Times New Roman" w:hAnsi="Times New Roman" w:cs="Times New Roman"/>
          <w:sz w:val="24"/>
          <w:szCs w:val="24"/>
        </w:rPr>
        <w:t>proinflammatory</w:t>
      </w:r>
      <w:proofErr w:type="spellEnd"/>
      <w:r w:rsidRPr="00B96AF4">
        <w:rPr>
          <w:rFonts w:ascii="Times New Roman" w:eastAsia="Times New Roman" w:hAnsi="Times New Roman" w:cs="Times New Roman"/>
          <w:sz w:val="24"/>
          <w:szCs w:val="24"/>
        </w:rPr>
        <w:t xml:space="preserve"> cytokines with tissue-damaging potential. </w:t>
      </w:r>
      <w:proofErr w:type="gramStart"/>
      <w:r w:rsidRPr="00B96AF4">
        <w:rPr>
          <w:rFonts w:ascii="Times New Roman" w:eastAsia="Times New Roman" w:hAnsi="Times New Roman" w:cs="Times New Roman"/>
          <w:sz w:val="24"/>
          <w:szCs w:val="24"/>
        </w:rPr>
        <w:t>As a consequence</w:t>
      </w:r>
      <w:proofErr w:type="gramEnd"/>
      <w:r w:rsidRPr="00B96AF4">
        <w:rPr>
          <w:rFonts w:ascii="Times New Roman" w:eastAsia="Times New Roman" w:hAnsi="Times New Roman" w:cs="Times New Roman"/>
          <w:sz w:val="24"/>
          <w:szCs w:val="24"/>
        </w:rPr>
        <w:t>, excessive HPA activity may increase susceptibility to infectious agents but enhance resistance to autoimmune/inflammatory diseases dominated by cellular immune responses.</w:t>
      </w:r>
    </w:p>
    <w:p w:rsidR="000F0213" w:rsidRDefault="000F0213"/>
    <w:sectPr w:rsidR="000F0213" w:rsidSect="000F02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E02BD"/>
    <w:multiLevelType w:val="multilevel"/>
    <w:tmpl w:val="9B80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6AF4"/>
    <w:rsid w:val="000F0213"/>
    <w:rsid w:val="004B5191"/>
    <w:rsid w:val="00B6403B"/>
    <w:rsid w:val="00B96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13"/>
  </w:style>
  <w:style w:type="paragraph" w:styleId="Heading3">
    <w:name w:val="heading 3"/>
    <w:basedOn w:val="Normal"/>
    <w:link w:val="Heading3Char"/>
    <w:uiPriority w:val="9"/>
    <w:qFormat/>
    <w:rsid w:val="00B96A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6A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6A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6AF4"/>
    <w:rPr>
      <w:color w:val="0000FF"/>
      <w:u w:val="single"/>
    </w:rPr>
  </w:style>
  <w:style w:type="character" w:customStyle="1" w:styleId="label">
    <w:name w:val="label"/>
    <w:basedOn w:val="DefaultParagraphFont"/>
    <w:rsid w:val="00B96AF4"/>
  </w:style>
  <w:style w:type="character" w:styleId="Emphasis">
    <w:name w:val="Emphasis"/>
    <w:basedOn w:val="DefaultParagraphFont"/>
    <w:uiPriority w:val="20"/>
    <w:qFormat/>
    <w:rsid w:val="00B96AF4"/>
    <w:rPr>
      <w:i/>
      <w:iCs/>
    </w:rPr>
  </w:style>
  <w:style w:type="character" w:customStyle="1" w:styleId="bullet">
    <w:name w:val="bullet"/>
    <w:basedOn w:val="DefaultParagraphFont"/>
    <w:rsid w:val="00B96AF4"/>
  </w:style>
  <w:style w:type="paragraph" w:styleId="BalloonText">
    <w:name w:val="Balloon Text"/>
    <w:basedOn w:val="Normal"/>
    <w:link w:val="BalloonTextChar"/>
    <w:uiPriority w:val="99"/>
    <w:semiHidden/>
    <w:unhideWhenUsed/>
    <w:rsid w:val="00B96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A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375432">
      <w:bodyDiv w:val="1"/>
      <w:marLeft w:val="0"/>
      <w:marRight w:val="0"/>
      <w:marTop w:val="0"/>
      <w:marBottom w:val="0"/>
      <w:divBdr>
        <w:top w:val="none" w:sz="0" w:space="0" w:color="auto"/>
        <w:left w:val="none" w:sz="0" w:space="0" w:color="auto"/>
        <w:bottom w:val="none" w:sz="0" w:space="0" w:color="auto"/>
        <w:right w:val="none" w:sz="0" w:space="0" w:color="auto"/>
      </w:divBdr>
      <w:divsChild>
        <w:div w:id="316812451">
          <w:marLeft w:val="0"/>
          <w:marRight w:val="0"/>
          <w:marTop w:val="0"/>
          <w:marBottom w:val="0"/>
          <w:divBdr>
            <w:top w:val="none" w:sz="0" w:space="0" w:color="auto"/>
            <w:left w:val="none" w:sz="0" w:space="0" w:color="auto"/>
            <w:bottom w:val="none" w:sz="0" w:space="0" w:color="auto"/>
            <w:right w:val="none" w:sz="0" w:space="0" w:color="auto"/>
          </w:divBdr>
          <w:divsChild>
            <w:div w:id="13387160">
              <w:marLeft w:val="0"/>
              <w:marRight w:val="0"/>
              <w:marTop w:val="0"/>
              <w:marBottom w:val="0"/>
              <w:divBdr>
                <w:top w:val="none" w:sz="0" w:space="0" w:color="auto"/>
                <w:left w:val="none" w:sz="0" w:space="0" w:color="auto"/>
                <w:bottom w:val="none" w:sz="0" w:space="0" w:color="auto"/>
                <w:right w:val="none" w:sz="0" w:space="0" w:color="auto"/>
              </w:divBdr>
            </w:div>
            <w:div w:id="2098748198">
              <w:marLeft w:val="0"/>
              <w:marRight w:val="0"/>
              <w:marTop w:val="0"/>
              <w:marBottom w:val="0"/>
              <w:divBdr>
                <w:top w:val="none" w:sz="0" w:space="0" w:color="auto"/>
                <w:left w:val="none" w:sz="0" w:space="0" w:color="auto"/>
                <w:bottom w:val="none" w:sz="0" w:space="0" w:color="auto"/>
                <w:right w:val="none" w:sz="0" w:space="0" w:color="auto"/>
              </w:divBdr>
            </w:div>
            <w:div w:id="1900748300">
              <w:marLeft w:val="0"/>
              <w:marRight w:val="0"/>
              <w:marTop w:val="0"/>
              <w:marBottom w:val="0"/>
              <w:divBdr>
                <w:top w:val="none" w:sz="0" w:space="0" w:color="auto"/>
                <w:left w:val="none" w:sz="0" w:space="0" w:color="auto"/>
                <w:bottom w:val="none" w:sz="0" w:space="0" w:color="auto"/>
                <w:right w:val="none" w:sz="0" w:space="0" w:color="auto"/>
              </w:divBdr>
            </w:div>
            <w:div w:id="1007437552">
              <w:marLeft w:val="0"/>
              <w:marRight w:val="0"/>
              <w:marTop w:val="0"/>
              <w:marBottom w:val="0"/>
              <w:divBdr>
                <w:top w:val="none" w:sz="0" w:space="0" w:color="auto"/>
                <w:left w:val="none" w:sz="0" w:space="0" w:color="auto"/>
                <w:bottom w:val="none" w:sz="0" w:space="0" w:color="auto"/>
                <w:right w:val="none" w:sz="0" w:space="0" w:color="auto"/>
              </w:divBdr>
            </w:div>
            <w:div w:id="186413698">
              <w:marLeft w:val="0"/>
              <w:marRight w:val="0"/>
              <w:marTop w:val="0"/>
              <w:marBottom w:val="0"/>
              <w:divBdr>
                <w:top w:val="none" w:sz="0" w:space="0" w:color="auto"/>
                <w:left w:val="none" w:sz="0" w:space="0" w:color="auto"/>
                <w:bottom w:val="none" w:sz="0" w:space="0" w:color="auto"/>
                <w:right w:val="none" w:sz="0" w:space="0" w:color="auto"/>
              </w:divBdr>
            </w:div>
            <w:div w:id="452138576">
              <w:marLeft w:val="0"/>
              <w:marRight w:val="0"/>
              <w:marTop w:val="0"/>
              <w:marBottom w:val="0"/>
              <w:divBdr>
                <w:top w:val="none" w:sz="0" w:space="0" w:color="auto"/>
                <w:left w:val="none" w:sz="0" w:space="0" w:color="auto"/>
                <w:bottom w:val="none" w:sz="0" w:space="0" w:color="auto"/>
                <w:right w:val="none" w:sz="0" w:space="0" w:color="auto"/>
              </w:divBdr>
            </w:div>
            <w:div w:id="287518423">
              <w:marLeft w:val="0"/>
              <w:marRight w:val="0"/>
              <w:marTop w:val="0"/>
              <w:marBottom w:val="0"/>
              <w:divBdr>
                <w:top w:val="none" w:sz="0" w:space="0" w:color="auto"/>
                <w:left w:val="none" w:sz="0" w:space="0" w:color="auto"/>
                <w:bottom w:val="none" w:sz="0" w:space="0" w:color="auto"/>
                <w:right w:val="none" w:sz="0" w:space="0" w:color="auto"/>
              </w:divBdr>
              <w:divsChild>
                <w:div w:id="450243204">
                  <w:marLeft w:val="0"/>
                  <w:marRight w:val="0"/>
                  <w:marTop w:val="0"/>
                  <w:marBottom w:val="0"/>
                  <w:divBdr>
                    <w:top w:val="none" w:sz="0" w:space="0" w:color="auto"/>
                    <w:left w:val="none" w:sz="0" w:space="0" w:color="auto"/>
                    <w:bottom w:val="none" w:sz="0" w:space="0" w:color="auto"/>
                    <w:right w:val="none" w:sz="0" w:space="0" w:color="auto"/>
                  </w:divBdr>
                </w:div>
              </w:divsChild>
            </w:div>
            <w:div w:id="216088682">
              <w:marLeft w:val="0"/>
              <w:marRight w:val="0"/>
              <w:marTop w:val="0"/>
              <w:marBottom w:val="0"/>
              <w:divBdr>
                <w:top w:val="none" w:sz="0" w:space="0" w:color="auto"/>
                <w:left w:val="none" w:sz="0" w:space="0" w:color="auto"/>
                <w:bottom w:val="none" w:sz="0" w:space="0" w:color="auto"/>
                <w:right w:val="none" w:sz="0" w:space="0" w:color="auto"/>
              </w:divBdr>
            </w:div>
            <w:div w:id="1804809703">
              <w:marLeft w:val="0"/>
              <w:marRight w:val="0"/>
              <w:marTop w:val="0"/>
              <w:marBottom w:val="0"/>
              <w:divBdr>
                <w:top w:val="none" w:sz="0" w:space="0" w:color="auto"/>
                <w:left w:val="none" w:sz="0" w:space="0" w:color="auto"/>
                <w:bottom w:val="none" w:sz="0" w:space="0" w:color="auto"/>
                <w:right w:val="none" w:sz="0" w:space="0" w:color="auto"/>
              </w:divBdr>
              <w:divsChild>
                <w:div w:id="1330135661">
                  <w:marLeft w:val="0"/>
                  <w:marRight w:val="0"/>
                  <w:marTop w:val="0"/>
                  <w:marBottom w:val="0"/>
                  <w:divBdr>
                    <w:top w:val="none" w:sz="0" w:space="0" w:color="auto"/>
                    <w:left w:val="none" w:sz="0" w:space="0" w:color="auto"/>
                    <w:bottom w:val="none" w:sz="0" w:space="0" w:color="auto"/>
                    <w:right w:val="none" w:sz="0" w:space="0" w:color="auto"/>
                  </w:divBdr>
                </w:div>
                <w:div w:id="2059353984">
                  <w:marLeft w:val="0"/>
                  <w:marRight w:val="0"/>
                  <w:marTop w:val="0"/>
                  <w:marBottom w:val="0"/>
                  <w:divBdr>
                    <w:top w:val="none" w:sz="0" w:space="0" w:color="auto"/>
                    <w:left w:val="none" w:sz="0" w:space="0" w:color="auto"/>
                    <w:bottom w:val="none" w:sz="0" w:space="0" w:color="auto"/>
                    <w:right w:val="none" w:sz="0" w:space="0" w:color="auto"/>
                  </w:divBdr>
                </w:div>
                <w:div w:id="820658363">
                  <w:marLeft w:val="0"/>
                  <w:marRight w:val="0"/>
                  <w:marTop w:val="0"/>
                  <w:marBottom w:val="0"/>
                  <w:divBdr>
                    <w:top w:val="none" w:sz="0" w:space="0" w:color="auto"/>
                    <w:left w:val="none" w:sz="0" w:space="0" w:color="auto"/>
                    <w:bottom w:val="none" w:sz="0" w:space="0" w:color="auto"/>
                    <w:right w:val="none" w:sz="0" w:space="0" w:color="auto"/>
                  </w:divBdr>
                </w:div>
              </w:divsChild>
            </w:div>
            <w:div w:id="2097626408">
              <w:marLeft w:val="0"/>
              <w:marRight w:val="0"/>
              <w:marTop w:val="0"/>
              <w:marBottom w:val="0"/>
              <w:divBdr>
                <w:top w:val="none" w:sz="0" w:space="0" w:color="auto"/>
                <w:left w:val="none" w:sz="0" w:space="0" w:color="auto"/>
                <w:bottom w:val="none" w:sz="0" w:space="0" w:color="auto"/>
                <w:right w:val="none" w:sz="0" w:space="0" w:color="auto"/>
              </w:divBdr>
            </w:div>
            <w:div w:id="894125728">
              <w:marLeft w:val="0"/>
              <w:marRight w:val="0"/>
              <w:marTop w:val="0"/>
              <w:marBottom w:val="0"/>
              <w:divBdr>
                <w:top w:val="none" w:sz="0" w:space="0" w:color="auto"/>
                <w:left w:val="none" w:sz="0" w:space="0" w:color="auto"/>
                <w:bottom w:val="none" w:sz="0" w:space="0" w:color="auto"/>
                <w:right w:val="none" w:sz="0" w:space="0" w:color="auto"/>
              </w:divBdr>
            </w:div>
          </w:divsChild>
        </w:div>
        <w:div w:id="494881882">
          <w:marLeft w:val="0"/>
          <w:marRight w:val="0"/>
          <w:marTop w:val="0"/>
          <w:marBottom w:val="0"/>
          <w:divBdr>
            <w:top w:val="none" w:sz="0" w:space="0" w:color="auto"/>
            <w:left w:val="none" w:sz="0" w:space="0" w:color="auto"/>
            <w:bottom w:val="none" w:sz="0" w:space="0" w:color="auto"/>
            <w:right w:val="none" w:sz="0" w:space="0" w:color="auto"/>
          </w:divBdr>
          <w:divsChild>
            <w:div w:id="244844965">
              <w:marLeft w:val="0"/>
              <w:marRight w:val="0"/>
              <w:marTop w:val="0"/>
              <w:marBottom w:val="0"/>
              <w:divBdr>
                <w:top w:val="none" w:sz="0" w:space="0" w:color="auto"/>
                <w:left w:val="none" w:sz="0" w:space="0" w:color="auto"/>
                <w:bottom w:val="none" w:sz="0" w:space="0" w:color="auto"/>
                <w:right w:val="none" w:sz="0" w:space="0" w:color="auto"/>
              </w:divBdr>
            </w:div>
            <w:div w:id="307056611">
              <w:marLeft w:val="0"/>
              <w:marRight w:val="0"/>
              <w:marTop w:val="0"/>
              <w:marBottom w:val="0"/>
              <w:divBdr>
                <w:top w:val="none" w:sz="0" w:space="0" w:color="auto"/>
                <w:left w:val="none" w:sz="0" w:space="0" w:color="auto"/>
                <w:bottom w:val="none" w:sz="0" w:space="0" w:color="auto"/>
                <w:right w:val="none" w:sz="0" w:space="0" w:color="auto"/>
              </w:divBdr>
            </w:div>
            <w:div w:id="1300109551">
              <w:marLeft w:val="0"/>
              <w:marRight w:val="0"/>
              <w:marTop w:val="0"/>
              <w:marBottom w:val="0"/>
              <w:divBdr>
                <w:top w:val="none" w:sz="0" w:space="0" w:color="auto"/>
                <w:left w:val="none" w:sz="0" w:space="0" w:color="auto"/>
                <w:bottom w:val="none" w:sz="0" w:space="0" w:color="auto"/>
                <w:right w:val="none" w:sz="0" w:space="0" w:color="auto"/>
              </w:divBdr>
            </w:div>
            <w:div w:id="385181194">
              <w:marLeft w:val="0"/>
              <w:marRight w:val="0"/>
              <w:marTop w:val="0"/>
              <w:marBottom w:val="0"/>
              <w:divBdr>
                <w:top w:val="none" w:sz="0" w:space="0" w:color="auto"/>
                <w:left w:val="none" w:sz="0" w:space="0" w:color="auto"/>
                <w:bottom w:val="none" w:sz="0" w:space="0" w:color="auto"/>
                <w:right w:val="none" w:sz="0" w:space="0" w:color="auto"/>
              </w:divBdr>
            </w:div>
            <w:div w:id="853768349">
              <w:marLeft w:val="0"/>
              <w:marRight w:val="0"/>
              <w:marTop w:val="0"/>
              <w:marBottom w:val="0"/>
              <w:divBdr>
                <w:top w:val="none" w:sz="0" w:space="0" w:color="auto"/>
                <w:left w:val="none" w:sz="0" w:space="0" w:color="auto"/>
                <w:bottom w:val="none" w:sz="0" w:space="0" w:color="auto"/>
                <w:right w:val="none" w:sz="0" w:space="0" w:color="auto"/>
              </w:divBdr>
              <w:divsChild>
                <w:div w:id="837187934">
                  <w:marLeft w:val="0"/>
                  <w:marRight w:val="0"/>
                  <w:marTop w:val="0"/>
                  <w:marBottom w:val="0"/>
                  <w:divBdr>
                    <w:top w:val="none" w:sz="0" w:space="0" w:color="auto"/>
                    <w:left w:val="none" w:sz="0" w:space="0" w:color="auto"/>
                    <w:bottom w:val="none" w:sz="0" w:space="0" w:color="auto"/>
                    <w:right w:val="none" w:sz="0" w:space="0" w:color="auto"/>
                  </w:divBdr>
                </w:div>
              </w:divsChild>
            </w:div>
            <w:div w:id="14323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528-1167.2005.00298.x/full" TargetMode="External"/><Relationship Id="rId13" Type="http://schemas.openxmlformats.org/officeDocument/2006/relationships/hyperlink" Target="http://onlinelibrary.wiley.com/store/10.1111/j.1528-1167.2005.00298.x/asset/image_n/EPI_298_f1.gif?v=1&amp;t=gwpzy631&amp;s=daa345c3b7d4fc55ba354f96461fd942d77b8839" TargetMode="External"/><Relationship Id="rId18" Type="http://schemas.openxmlformats.org/officeDocument/2006/relationships/hyperlink" Target="http://onlinelibrary.wiley.com/doi/10.1111/j.1528-1167.2005.00298.x/full" TargetMode="External"/><Relationship Id="rId26" Type="http://schemas.openxmlformats.org/officeDocument/2006/relationships/hyperlink" Target="http://onlinelibrary.wiley.com/doi/10.1111/j.1528-1167.2005.00298.x/full" TargetMode="External"/><Relationship Id="rId3" Type="http://schemas.openxmlformats.org/officeDocument/2006/relationships/settings" Target="settings.xml"/><Relationship Id="rId21" Type="http://schemas.openxmlformats.org/officeDocument/2006/relationships/hyperlink" Target="http://onlinelibrary.wiley.com/doi/10.1111/j.1528-1167.2005.00298.x/full" TargetMode="External"/><Relationship Id="rId7" Type="http://schemas.openxmlformats.org/officeDocument/2006/relationships/hyperlink" Target="http://onlinelibrary.wiley.com/doi/10.1111/j.1528-1167.2005.00298.x/full" TargetMode="External"/><Relationship Id="rId12" Type="http://schemas.openxmlformats.org/officeDocument/2006/relationships/hyperlink" Target="http://onlinelibrary.wiley.com/doi/10.1111/j.1528-1167.2005.00298.x/full" TargetMode="External"/><Relationship Id="rId17" Type="http://schemas.openxmlformats.org/officeDocument/2006/relationships/hyperlink" Target="http://onlinelibrary.wiley.com/doi/10.1111/j.1528-1167.2005.00298.x/full" TargetMode="External"/><Relationship Id="rId25" Type="http://schemas.openxmlformats.org/officeDocument/2006/relationships/hyperlink" Target="http://onlinelibrary.wiley.com/doi/10.1111/j.1528-1167.2005.00298.x/full" TargetMode="External"/><Relationship Id="rId2" Type="http://schemas.openxmlformats.org/officeDocument/2006/relationships/styles" Target="styles.xml"/><Relationship Id="rId16" Type="http://schemas.openxmlformats.org/officeDocument/2006/relationships/hyperlink" Target="http://onlinelibrary.wiley.com/doi/10.1111/j.1528-1167.2005.00298.x/full" TargetMode="External"/><Relationship Id="rId20" Type="http://schemas.openxmlformats.org/officeDocument/2006/relationships/hyperlink" Target="http://onlinelibrary.wiley.com/doi/10.1111/j.1528-1167.2005.00298.x/full" TargetMode="External"/><Relationship Id="rId29" Type="http://schemas.openxmlformats.org/officeDocument/2006/relationships/hyperlink" Target="http://onlinelibrary.wiley.com/store/10.1111/j.1528-1167.2005.00298.x/asset/image_n/EPI_298_f2.gif?v=1&amp;t=gwpzy63k&amp;s=08c3a9c5a3a43c8feacdc08a2b186d00ab31b7dc" TargetMode="External"/><Relationship Id="rId1" Type="http://schemas.openxmlformats.org/officeDocument/2006/relationships/numbering" Target="numbering.xml"/><Relationship Id="rId6" Type="http://schemas.openxmlformats.org/officeDocument/2006/relationships/hyperlink" Target="http://onlinelibrary.wiley.com/doi/10.1111/j.1528-1167.2005.00298.x/full" TargetMode="External"/><Relationship Id="rId11" Type="http://schemas.openxmlformats.org/officeDocument/2006/relationships/hyperlink" Target="http://onlinelibrary.wiley.com/doi/10.1111/j.1528-1167.2005.00298.x/full" TargetMode="External"/><Relationship Id="rId24" Type="http://schemas.openxmlformats.org/officeDocument/2006/relationships/hyperlink" Target="http://onlinelibrary.wiley.com/doi/10.1111/j.1528-1167.2005.00298.x/full" TargetMode="External"/><Relationship Id="rId5" Type="http://schemas.openxmlformats.org/officeDocument/2006/relationships/hyperlink" Target="http://onlinelibrary.wiley.com/doi/10.1111/j.1528-1167.2005.00298.x/full" TargetMode="External"/><Relationship Id="rId15" Type="http://schemas.openxmlformats.org/officeDocument/2006/relationships/hyperlink" Target="http://onlinelibrary.wiley.com/doi/10.1111/j.1528-1167.2005.00298.x/full" TargetMode="External"/><Relationship Id="rId23" Type="http://schemas.openxmlformats.org/officeDocument/2006/relationships/hyperlink" Target="http://onlinelibrary.wiley.com/doi/10.1111/j.1528-1167.2005.00298.x/full" TargetMode="External"/><Relationship Id="rId28" Type="http://schemas.openxmlformats.org/officeDocument/2006/relationships/hyperlink" Target="http://onlinelibrary.wiley.com/doi/10.1111/j.1528-1167.2005.00298.x/full" TargetMode="External"/><Relationship Id="rId10" Type="http://schemas.openxmlformats.org/officeDocument/2006/relationships/hyperlink" Target="http://onlinelibrary.wiley.com/doi/10.1111/j.1528-1167.2005.00298.x/full" TargetMode="External"/><Relationship Id="rId19" Type="http://schemas.openxmlformats.org/officeDocument/2006/relationships/hyperlink" Target="http://onlinelibrary.wiley.com/doi/10.1111/j.1528-1167.2005.00298.x/ful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nlinelibrary.wiley.com/doi/10.1111/j.1528-1167.2005.00298.x/full" TargetMode="External"/><Relationship Id="rId14" Type="http://schemas.openxmlformats.org/officeDocument/2006/relationships/image" Target="media/image1.gif"/><Relationship Id="rId22" Type="http://schemas.openxmlformats.org/officeDocument/2006/relationships/hyperlink" Target="http://onlinelibrary.wiley.com/doi/10.1111/j.1528-1167.2005.00298.x/full" TargetMode="External"/><Relationship Id="rId27" Type="http://schemas.openxmlformats.org/officeDocument/2006/relationships/hyperlink" Target="http://onlinelibrary.wiley.com/doi/10.1111/j.1528-1167.2005.00298.x/ful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2011-12-28T07:05:00Z</dcterms:created>
  <dcterms:modified xsi:type="dcterms:W3CDTF">2011-12-28T07:21:00Z</dcterms:modified>
</cp:coreProperties>
</file>